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Arial" w:cs="Arial" w:eastAsia="Arial" w:hAnsi="Arial"/>
          <w:sz w:val="22"/>
          <w:szCs w:val="22"/>
          <w:b w:val="1"/>
          <w:bCs w:val="1"/>
          <w:color w:val="auto"/>
        </w:rPr>
        <w:t>UNITED STATES</w:t>
      </w:r>
    </w:p>
    <w:p>
      <w:pPr>
        <w:spacing w:after="0" w:line="30"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SECURITIES AND EXCHANGE COMMISSION</w:t>
      </w:r>
    </w:p>
    <w:p>
      <w:pPr>
        <w:spacing w:after="0" w:line="33"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Washington, D.C. 20549</w:t>
      </w:r>
    </w:p>
    <w:p>
      <w:pPr>
        <w:spacing w:after="0" w:line="58"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FORM 10-Q</w:t>
      </w:r>
    </w:p>
    <w:p>
      <w:pPr>
        <w:spacing w:after="0" w:line="59"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b w:val="1"/>
          <w:bCs w:val="1"/>
          <w:u w:val="single" w:color="auto"/>
          <w:color w:val="auto"/>
        </w:rPr>
        <w:t>X</w:t>
      </w:r>
      <w:r>
        <w:rPr>
          <w:rFonts w:ascii="Arial" w:cs="Arial" w:eastAsia="Arial" w:hAnsi="Arial"/>
          <w:sz w:val="16"/>
          <w:szCs w:val="16"/>
          <w:b w:val="1"/>
          <w:bCs w:val="1"/>
          <w:color w:val="auto"/>
        </w:rPr>
        <w:t>/ QUARTERLY REPORT PURSUANT TO SECTION 13 OR 15(d) OF</w:t>
      </w:r>
    </w:p>
    <w:p>
      <w:pPr>
        <w:spacing w:after="0" w:line="25"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THE SECURITIES EXCHANGE ACT OF 1934</w:t>
      </w:r>
    </w:p>
    <w:p>
      <w:pPr>
        <w:spacing w:after="0" w:line="5"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For the quarterly period ended March 31, 2019</w:t>
      </w:r>
    </w:p>
    <w:p>
      <w:pPr>
        <w:spacing w:after="0" w:line="39"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jc w:val="center"/>
        <w:ind w:left="4380" w:right="2780" w:hanging="1262"/>
        <w:spacing w:after="0" w:line="259" w:lineRule="auto"/>
        <w:tabs>
          <w:tab w:leader="none" w:pos="3216"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TRANSITION REPORT PURSUANT TO SECTION 13 OR 15(d) OF THE SECURITIES EXCHANGE ACT OF 1934</w:t>
      </w:r>
    </w:p>
    <w:p>
      <w:pPr>
        <w:spacing w:after="0" w:line="1" w:lineRule="exact"/>
        <w:rPr>
          <w:sz w:val="24"/>
          <w:szCs w:val="24"/>
          <w:color w:val="auto"/>
        </w:rPr>
      </w:pPr>
    </w:p>
    <w:p>
      <w:pPr>
        <w:ind w:left="4060"/>
        <w:spacing w:after="0"/>
        <w:rPr>
          <w:sz w:val="20"/>
          <w:szCs w:val="20"/>
          <w:color w:val="auto"/>
        </w:rPr>
      </w:pPr>
      <w:r>
        <w:rPr>
          <w:rFonts w:ascii="Arial" w:cs="Arial" w:eastAsia="Arial" w:hAnsi="Arial"/>
          <w:sz w:val="16"/>
          <w:szCs w:val="16"/>
          <w:b w:val="1"/>
          <w:bCs w:val="1"/>
          <w:color w:val="auto"/>
        </w:rPr>
        <w:t>For the transition period from ______ to ______</w:t>
      </w:r>
    </w:p>
    <w:p>
      <w:pPr>
        <w:spacing w:after="0" w:line="8"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Commission file number 1-11840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3014980</wp:posOffset>
            </wp:positionH>
            <wp:positionV relativeFrom="paragraph">
              <wp:posOffset>66040</wp:posOffset>
            </wp:positionV>
            <wp:extent cx="1440815"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1132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220"/>
        <w:spacing w:after="0"/>
        <w:rPr>
          <w:sz w:val="20"/>
          <w:szCs w:val="20"/>
          <w:color w:val="auto"/>
        </w:rPr>
      </w:pPr>
      <w:r>
        <w:rPr>
          <w:rFonts w:ascii="Arial" w:cs="Arial" w:eastAsia="Arial" w:hAnsi="Arial"/>
          <w:sz w:val="20"/>
          <w:szCs w:val="20"/>
          <w:b w:val="1"/>
          <w:bCs w:val="1"/>
          <w:color w:val="1666AF"/>
        </w:rPr>
        <w:t>THE ALLSTATE CORPORATION</w:t>
      </w:r>
    </w:p>
    <w:p>
      <w:pPr>
        <w:spacing w:after="0" w:line="140" w:lineRule="exact"/>
        <w:rPr>
          <w:sz w:val="24"/>
          <w:szCs w:val="24"/>
          <w:color w:val="auto"/>
        </w:rPr>
      </w:pPr>
    </w:p>
    <w:p>
      <w:pPr>
        <w:jc w:val="center"/>
        <w:ind w:left="340"/>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145"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36-3871531</w:t>
      </w:r>
    </w:p>
    <w:p>
      <w:pPr>
        <w:spacing w:after="0" w:line="91" w:lineRule="exact"/>
        <w:rPr>
          <w:sz w:val="24"/>
          <w:szCs w:val="24"/>
          <w:color w:val="auto"/>
        </w:rPr>
      </w:pPr>
    </w:p>
    <w:p>
      <w:pPr>
        <w:sectPr>
          <w:pgSz w:w="11900" w:h="16838" w:orient="portrait"/>
          <w:cols w:equalWidth="0" w:num="2">
            <w:col w:w="7220" w:space="720"/>
            <w:col w:w="3480"/>
          </w:cols>
          <w:pgMar w:left="240" w:top="229" w:right="239" w:bottom="1440" w:gutter="0" w:footer="0" w:header="0"/>
          <w:type w:val="continuous"/>
        </w:sectPr>
      </w:pPr>
    </w:p>
    <w:p>
      <w:pPr>
        <w:ind w:left="206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40"/>
          </w:cols>
          <w:pgMar w:left="240" w:top="229" w:right="239" w:bottom="1440" w:gutter="0" w:footer="0" w:header="0"/>
          <w:type w:val="continuous"/>
        </w:sectPr>
      </w:pPr>
    </w:p>
    <w:p>
      <w:pPr>
        <w:spacing w:after="0" w:line="196" w:lineRule="exact"/>
        <w:rPr>
          <w:sz w:val="24"/>
          <w:szCs w:val="24"/>
          <w:color w:val="auto"/>
        </w:rPr>
      </w:pPr>
    </w:p>
    <w:p>
      <w:pPr>
        <w:ind w:left="3700"/>
        <w:spacing w:after="0"/>
        <w:rPr>
          <w:sz w:val="20"/>
          <w:szCs w:val="20"/>
          <w:color w:val="auto"/>
        </w:rPr>
      </w:pPr>
      <w:r>
        <w:rPr>
          <w:rFonts w:ascii="Arial" w:cs="Arial" w:eastAsia="Arial" w:hAnsi="Arial"/>
          <w:sz w:val="14"/>
          <w:szCs w:val="14"/>
          <w:b w:val="1"/>
          <w:bCs w:val="1"/>
          <w:color w:val="auto"/>
        </w:rPr>
        <w:t>2775 Sanders Road, Northbrook, Illinois</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60062</w:t>
      </w:r>
    </w:p>
    <w:p>
      <w:pPr>
        <w:spacing w:after="0" w:line="158" w:lineRule="exact"/>
        <w:rPr>
          <w:sz w:val="24"/>
          <w:szCs w:val="24"/>
          <w:color w:val="auto"/>
        </w:rPr>
      </w:pPr>
    </w:p>
    <w:p>
      <w:pPr>
        <w:sectPr>
          <w:pgSz w:w="11900" w:h="16838" w:orient="portrait"/>
          <w:cols w:equalWidth="0" w:num="2">
            <w:col w:w="6740" w:space="720"/>
            <w:col w:w="3960"/>
          </w:cols>
          <w:pgMar w:left="240" w:top="229" w:right="239" w:bottom="1440" w:gutter="0" w:footer="0" w:header="0"/>
          <w:type w:val="continuous"/>
        </w:sectPr>
      </w:pPr>
    </w:p>
    <w:p>
      <w:pPr>
        <w:ind w:left="396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200" w:lineRule="exact"/>
        <w:rPr>
          <w:sz w:val="24"/>
          <w:szCs w:val="24"/>
          <w:color w:val="auto"/>
        </w:rPr>
      </w:pPr>
    </w:p>
    <w:p>
      <w:pPr>
        <w:sectPr>
          <w:pgSz w:w="11900" w:h="16838" w:orient="portrait"/>
          <w:cols w:equalWidth="0" w:num="2">
            <w:col w:w="6620" w:space="720"/>
            <w:col w:w="4080"/>
          </w:cols>
          <w:pgMar w:left="240" w:top="229" w:right="239" w:bottom="1440" w:gutter="0" w:footer="0" w:header="0"/>
          <w:type w:val="continuous"/>
        </w:sectPr>
      </w:pPr>
    </w:p>
    <w:p>
      <w:pPr>
        <w:spacing w:after="0" w:line="97" w:lineRule="exact"/>
        <w:rPr>
          <w:sz w:val="24"/>
          <w:szCs w:val="24"/>
          <w:color w:val="auto"/>
        </w:rPr>
      </w:pPr>
    </w:p>
    <w:p>
      <w:pPr>
        <w:jc w:val="center"/>
        <w:ind w:left="340"/>
        <w:spacing w:after="0"/>
        <w:rPr>
          <w:sz w:val="20"/>
          <w:szCs w:val="20"/>
          <w:color w:val="auto"/>
        </w:rPr>
      </w:pPr>
      <w:r>
        <w:rPr>
          <w:rFonts w:ascii="Arial" w:cs="Arial" w:eastAsia="Arial" w:hAnsi="Arial"/>
          <w:sz w:val="16"/>
          <w:szCs w:val="16"/>
          <w:b w:val="1"/>
          <w:bCs w:val="1"/>
          <w:color w:val="auto"/>
        </w:rPr>
        <w:t>(847) 402-5000</w:t>
      </w:r>
    </w:p>
    <w:p>
      <w:pPr>
        <w:spacing w:after="0" w:line="79" w:lineRule="exact"/>
        <w:rPr>
          <w:sz w:val="24"/>
          <w:szCs w:val="24"/>
          <w:color w:val="auto"/>
        </w:rPr>
      </w:pPr>
    </w:p>
    <w:p>
      <w:pPr>
        <w:jc w:val="center"/>
        <w:ind w:left="340"/>
        <w:spacing w:after="0"/>
        <w:rPr>
          <w:sz w:val="20"/>
          <w:szCs w:val="20"/>
          <w:color w:val="auto"/>
        </w:rPr>
      </w:pPr>
      <w:r>
        <w:rPr>
          <w:rFonts w:ascii="Arial" w:cs="Arial" w:eastAsia="Arial" w:hAnsi="Arial"/>
          <w:sz w:val="16"/>
          <w:szCs w:val="16"/>
          <w:color w:val="auto"/>
        </w:rPr>
        <w:t>(Registrant’s telephone number, including area code)</w:t>
      </w:r>
    </w:p>
    <w:p>
      <w:pPr>
        <w:spacing w:after="0" w:line="59"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6" w:lineRule="exact"/>
        <w:rPr>
          <w:sz w:val="24"/>
          <w:szCs w:val="24"/>
          <w:color w:val="auto"/>
        </w:rPr>
      </w:pPr>
    </w:p>
    <w:p>
      <w:pPr>
        <w:ind w:left="4820"/>
        <w:spacing w:after="0"/>
        <w:tabs>
          <w:tab w:leader="none" w:pos="620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4"/>
          <w:szCs w:val="14"/>
          <w:color w:val="auto"/>
        </w:rPr>
        <w:t>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3232785</wp:posOffset>
            </wp:positionH>
            <wp:positionV relativeFrom="paragraph">
              <wp:posOffset>-6985</wp:posOffset>
            </wp:positionV>
            <wp:extent cx="177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165" cy="8890"/>
                    </a:xfrm>
                    <a:prstGeom prst="rect">
                      <a:avLst/>
                    </a:prstGeom>
                    <a:noFill/>
                  </pic:spPr>
                </pic:pic>
              </a:graphicData>
            </a:graphic>
          </wp:anchor>
        </w:drawing>
      </w:r>
    </w:p>
    <w:p>
      <w:pPr>
        <w:spacing w:after="0" w:line="91" w:lineRule="exact"/>
        <w:rPr>
          <w:sz w:val="24"/>
          <w:szCs w:val="24"/>
          <w:color w:val="auto"/>
        </w:rPr>
      </w:pPr>
    </w:p>
    <w:p>
      <w:pPr>
        <w:jc w:val="both"/>
        <w:ind w:firstLine="338"/>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30" w:lineRule="exact"/>
        <w:rPr>
          <w:sz w:val="24"/>
          <w:szCs w:val="24"/>
          <w:color w:val="auto"/>
        </w:rPr>
      </w:pPr>
    </w:p>
    <w:p>
      <w:pPr>
        <w:ind w:left="4820"/>
        <w:spacing w:after="0"/>
        <w:tabs>
          <w:tab w:leader="none" w:pos="6200" w:val="left"/>
        </w:tabs>
        <w:rPr>
          <w:sz w:val="20"/>
          <w:szCs w:val="20"/>
          <w:color w:val="auto"/>
        </w:rPr>
      </w:pPr>
      <w:r>
        <w:rPr>
          <w:rFonts w:ascii="Arial" w:cs="Arial" w:eastAsia="Arial" w:hAnsi="Arial"/>
          <w:sz w:val="16"/>
          <w:szCs w:val="16"/>
          <w:color w:val="auto"/>
        </w:rPr>
        <w:t>Yes  X</w:t>
      </w:r>
      <w:r>
        <w:rPr>
          <w:sz w:val="20"/>
          <w:szCs w:val="20"/>
          <w:color w:val="auto"/>
        </w:rPr>
        <w:tab/>
      </w:r>
      <w:r>
        <w:rPr>
          <w:rFonts w:ascii="Arial" w:cs="Arial" w:eastAsia="Arial" w:hAnsi="Arial"/>
          <w:sz w:val="14"/>
          <w:szCs w:val="14"/>
          <w:color w:val="auto"/>
        </w:rPr>
        <w:t>No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3232785</wp:posOffset>
            </wp:positionH>
            <wp:positionV relativeFrom="paragraph">
              <wp:posOffset>-6985</wp:posOffset>
            </wp:positionV>
            <wp:extent cx="177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165" cy="8890"/>
                    </a:xfrm>
                    <a:prstGeom prst="rect">
                      <a:avLst/>
                    </a:prstGeom>
                    <a:noFill/>
                  </pic:spPr>
                </pic:pic>
              </a:graphicData>
            </a:graphic>
          </wp:anchor>
        </w:drawing>
      </w:r>
    </w:p>
    <w:p>
      <w:pPr>
        <w:spacing w:after="0" w:line="91" w:lineRule="exact"/>
        <w:rPr>
          <w:sz w:val="24"/>
          <w:szCs w:val="24"/>
          <w:color w:val="auto"/>
        </w:rPr>
      </w:pPr>
    </w:p>
    <w:p>
      <w:pPr>
        <w:jc w:val="both"/>
        <w:ind w:right="200" w:firstLine="338"/>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4"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20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X</w:t>
            </w:r>
          </w:p>
        </w:tc>
        <w:tc>
          <w:tcPr>
            <w:tcW w:w="6520" w:type="dxa"/>
            <w:vAlign w:val="bottom"/>
          </w:tcPr>
          <w:p>
            <w:pPr>
              <w:ind w:left="4080"/>
              <w:spacing w:after="0"/>
              <w:rPr>
                <w:sz w:val="20"/>
                <w:szCs w:val="20"/>
                <w:color w:val="auto"/>
              </w:rPr>
            </w:pPr>
            <w:r>
              <w:rPr>
                <w:rFonts w:ascii="Arial" w:cs="Arial" w:eastAsia="Arial" w:hAnsi="Arial"/>
                <w:sz w:val="16"/>
                <w:szCs w:val="16"/>
                <w:color w:val="auto"/>
              </w:rPr>
              <w:t>Accelerated filer</w:t>
            </w:r>
          </w:p>
        </w:tc>
        <w:tc>
          <w:tcPr>
            <w:tcW w:w="960" w:type="dxa"/>
            <w:vAlign w:val="bottom"/>
          </w:tcPr>
          <w:p>
            <w:pPr>
              <w:jc w:val="right"/>
              <w:spacing w:after="0"/>
              <w:rPr>
                <w:sz w:val="20"/>
                <w:szCs w:val="20"/>
                <w:color w:val="auto"/>
              </w:rPr>
            </w:pPr>
            <w:r>
              <w:rPr>
                <w:rFonts w:ascii="Arial" w:cs="Arial" w:eastAsia="Arial" w:hAnsi="Arial"/>
                <w:sz w:val="16"/>
                <w:szCs w:val="16"/>
                <w:color w:val="auto"/>
              </w:rPr>
              <w:t>____</w:t>
            </w:r>
          </w:p>
        </w:tc>
      </w:tr>
      <w:tr>
        <w:trPr>
          <w:trHeight w:val="493"/>
        </w:trPr>
        <w:tc>
          <w:tcPr>
            <w:tcW w:w="2060" w:type="dxa"/>
            <w:vAlign w:val="bottom"/>
          </w:tcPr>
          <w:p>
            <w:pPr>
              <w:spacing w:after="0"/>
              <w:rPr>
                <w:sz w:val="20"/>
                <w:szCs w:val="20"/>
                <w:color w:val="auto"/>
              </w:rPr>
            </w:pPr>
            <w:r>
              <w:rPr>
                <w:rFonts w:ascii="Arial" w:cs="Arial" w:eastAsia="Arial" w:hAnsi="Arial"/>
                <w:sz w:val="16"/>
                <w:szCs w:val="16"/>
                <w:color w:val="auto"/>
              </w:rPr>
              <w:t>Non-accelerated filer</w:t>
            </w:r>
          </w:p>
        </w:tc>
        <w:tc>
          <w:tcPr>
            <w:tcW w:w="3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520" w:type="dxa"/>
            <w:vAlign w:val="bottom"/>
          </w:tcPr>
          <w:p>
            <w:pPr>
              <w:ind w:left="4080"/>
              <w:spacing w:after="0"/>
              <w:rPr>
                <w:sz w:val="20"/>
                <w:szCs w:val="20"/>
                <w:color w:val="auto"/>
              </w:rPr>
            </w:pPr>
            <w:r>
              <w:rPr>
                <w:rFonts w:ascii="Arial" w:cs="Arial" w:eastAsia="Arial" w:hAnsi="Arial"/>
                <w:sz w:val="16"/>
                <w:szCs w:val="16"/>
                <w:color w:val="auto"/>
              </w:rPr>
              <w:t>Smaller reporting company</w:t>
            </w:r>
          </w:p>
        </w:tc>
        <w:tc>
          <w:tcPr>
            <w:tcW w:w="960" w:type="dxa"/>
            <w:vAlign w:val="bottom"/>
          </w:tcPr>
          <w:p>
            <w:pPr>
              <w:jc w:val="right"/>
              <w:spacing w:after="0"/>
              <w:rPr>
                <w:sz w:val="20"/>
                <w:szCs w:val="20"/>
                <w:color w:val="auto"/>
              </w:rPr>
            </w:pPr>
            <w:r>
              <w:rPr>
                <w:rFonts w:ascii="Arial" w:cs="Arial" w:eastAsia="Arial" w:hAnsi="Arial"/>
                <w:sz w:val="16"/>
                <w:szCs w:val="16"/>
                <w:color w:val="auto"/>
              </w:rPr>
              <w:t>____</w:t>
            </w:r>
          </w:p>
        </w:tc>
      </w:tr>
      <w:tr>
        <w:trPr>
          <w:trHeight w:val="393"/>
        </w:trPr>
        <w:tc>
          <w:tcPr>
            <w:tcW w:w="2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520" w:type="dxa"/>
            <w:vAlign w:val="bottom"/>
          </w:tcPr>
          <w:p>
            <w:pPr>
              <w:ind w:left="4080"/>
              <w:spacing w:after="0"/>
              <w:rPr>
                <w:sz w:val="20"/>
                <w:szCs w:val="20"/>
                <w:color w:val="auto"/>
              </w:rPr>
            </w:pPr>
            <w:r>
              <w:rPr>
                <w:rFonts w:ascii="Arial" w:cs="Arial" w:eastAsia="Arial" w:hAnsi="Arial"/>
                <w:sz w:val="16"/>
                <w:szCs w:val="16"/>
                <w:color w:val="auto"/>
              </w:rPr>
              <w:t>Emerging growth company</w:t>
            </w:r>
          </w:p>
        </w:tc>
        <w:tc>
          <w:tcPr>
            <w:tcW w:w="960" w:type="dxa"/>
            <w:vAlign w:val="bottom"/>
          </w:tcPr>
          <w:p>
            <w:pPr>
              <w:jc w:val="right"/>
              <w:spacing w:after="0"/>
              <w:rPr>
                <w:sz w:val="20"/>
                <w:szCs w:val="20"/>
                <w:color w:val="auto"/>
              </w:rPr>
            </w:pPr>
            <w:r>
              <w:rPr>
                <w:rFonts w:ascii="Arial" w:cs="Arial" w:eastAsia="Arial" w:hAnsi="Arial"/>
                <w:sz w:val="16"/>
                <w:szCs w:val="16"/>
                <w:color w:val="auto"/>
              </w:rPr>
              <w:t>____</w:t>
            </w:r>
          </w:p>
        </w:tc>
      </w:tr>
    </w:tbl>
    <w:p>
      <w:pPr>
        <w:spacing w:after="0" w:line="102" w:lineRule="exact"/>
        <w:rPr>
          <w:sz w:val="24"/>
          <w:szCs w:val="24"/>
          <w:color w:val="auto"/>
        </w:rPr>
      </w:pPr>
    </w:p>
    <w:p>
      <w:pPr>
        <w:ind w:right="20" w:firstLine="338"/>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____</w:t>
      </w: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55" w:lineRule="exact"/>
        <w:rPr>
          <w:sz w:val="24"/>
          <w:szCs w:val="24"/>
          <w:color w:val="auto"/>
        </w:rPr>
      </w:pPr>
    </w:p>
    <w:p>
      <w:pPr>
        <w:ind w:left="4820"/>
        <w:spacing w:after="0"/>
        <w:tabs>
          <w:tab w:leader="none" w:pos="6180" w:val="left"/>
        </w:tabs>
        <w:rPr>
          <w:sz w:val="20"/>
          <w:szCs w:val="20"/>
          <w:color w:val="auto"/>
        </w:rPr>
      </w:pPr>
      <w:r>
        <w:rPr>
          <w:rFonts w:ascii="Arial" w:cs="Arial" w:eastAsia="Arial" w:hAnsi="Arial"/>
          <w:sz w:val="16"/>
          <w:szCs w:val="16"/>
          <w:color w:val="auto"/>
        </w:rPr>
        <w:t>Yes</w:t>
      </w:r>
      <w:r>
        <w:rPr>
          <w:sz w:val="20"/>
          <w:szCs w:val="20"/>
          <w:color w:val="auto"/>
        </w:rPr>
        <w:tab/>
      </w:r>
      <w:r>
        <w:rPr>
          <w:rFonts w:ascii="Arial" w:cs="Arial" w:eastAsia="Arial" w:hAnsi="Arial"/>
          <w:sz w:val="16"/>
          <w:szCs w:val="16"/>
          <w:color w:val="auto"/>
        </w:rPr>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3231515</wp:posOffset>
            </wp:positionH>
            <wp:positionV relativeFrom="paragraph">
              <wp:posOffset>-6985</wp:posOffset>
            </wp:positionV>
            <wp:extent cx="180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4091305</wp:posOffset>
            </wp:positionH>
            <wp:positionV relativeFrom="paragraph">
              <wp:posOffset>-6985</wp:posOffset>
            </wp:positionV>
            <wp:extent cx="177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165" cy="8890"/>
                    </a:xfrm>
                    <a:prstGeom prst="rect">
                      <a:avLst/>
                    </a:prstGeom>
                    <a:noFill/>
                  </pic:spPr>
                </pic:pic>
              </a:graphicData>
            </a:graphic>
          </wp:anchor>
        </w:drawing>
      </w:r>
    </w:p>
    <w:p>
      <w:pPr>
        <w:spacing w:after="0" w:line="9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April 15, 2019, the registrant had 333,106,827 common shares, $.01 par value, outstanding.</w:t>
      </w:r>
    </w:p>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0"/>
          <w:szCs w:val="20"/>
          <w:b w:val="1"/>
          <w:bCs w:val="1"/>
          <w:color w:val="1666AF"/>
        </w:rPr>
        <w:t>The Allstate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666AF"/>
        </w:rPr>
        <w:t>Index to Quarterly Report on Form 10-Q</w:t>
      </w:r>
    </w:p>
    <w:p>
      <w:pPr>
        <w:jc w:val="center"/>
        <w:spacing w:after="0"/>
        <w:rPr>
          <w:sz w:val="20"/>
          <w:szCs w:val="20"/>
          <w:color w:val="auto"/>
        </w:rPr>
      </w:pPr>
      <w:r>
        <w:rPr>
          <w:rFonts w:ascii="Arial" w:cs="Arial" w:eastAsia="Arial" w:hAnsi="Arial"/>
          <w:sz w:val="20"/>
          <w:szCs w:val="20"/>
          <w:b w:val="1"/>
          <w:bCs w:val="1"/>
          <w:color w:val="1666AF"/>
        </w:rPr>
        <w:t>March 31, 2019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680" w:type="dxa"/>
            <w:vAlign w:val="bottom"/>
            <w:gridSpan w:val="2"/>
          </w:tcPr>
          <w:p>
            <w:pPr>
              <w:ind w:left="40"/>
              <w:spacing w:after="0"/>
              <w:rPr>
                <w:sz w:val="20"/>
                <w:szCs w:val="20"/>
                <w:color w:val="auto"/>
              </w:rPr>
            </w:pPr>
            <w:r>
              <w:rPr>
                <w:rFonts w:ascii="Arial" w:cs="Arial" w:eastAsia="Arial" w:hAnsi="Arial"/>
                <w:sz w:val="20"/>
                <w:szCs w:val="20"/>
                <w:b w:val="1"/>
                <w:bCs w:val="1"/>
                <w:color w:val="1666AF"/>
              </w:rPr>
              <w:t>Part I Financial Information</w:t>
            </w:r>
          </w:p>
        </w:tc>
        <w:tc>
          <w:tcPr>
            <w:tcW w:w="740" w:type="dxa"/>
            <w:vAlign w:val="bottom"/>
          </w:tcPr>
          <w:p>
            <w:pPr>
              <w:ind w:left="100"/>
              <w:spacing w:after="0"/>
              <w:rPr>
                <w:sz w:val="20"/>
                <w:szCs w:val="20"/>
                <w:color w:val="auto"/>
              </w:rPr>
            </w:pPr>
            <w:r>
              <w:rPr>
                <w:rFonts w:ascii="Arial" w:cs="Arial" w:eastAsia="Arial" w:hAnsi="Arial"/>
                <w:sz w:val="20"/>
                <w:szCs w:val="20"/>
                <w:b w:val="1"/>
                <w:bCs w:val="1"/>
                <w:color w:val="1666AF"/>
              </w:rPr>
              <w:t>Page</w:t>
            </w:r>
          </w:p>
        </w:tc>
      </w:tr>
      <w:tr>
        <w:trPr>
          <w:trHeight w:val="253"/>
        </w:trPr>
        <w:tc>
          <w:tcPr>
            <w:tcW w:w="580" w:type="dxa"/>
            <w:vAlign w:val="bottom"/>
            <w:tcBorders>
              <w:bottom w:val="single" w:sz="8" w:color="1666AF"/>
            </w:tcBorders>
          </w:tcPr>
          <w:p>
            <w:pPr>
              <w:spacing w:after="0"/>
              <w:rPr>
                <w:sz w:val="21"/>
                <w:szCs w:val="21"/>
                <w:color w:val="auto"/>
              </w:rPr>
            </w:pPr>
          </w:p>
        </w:tc>
        <w:tc>
          <w:tcPr>
            <w:tcW w:w="10100" w:type="dxa"/>
            <w:vAlign w:val="bottom"/>
            <w:tcBorders>
              <w:bottom w:val="single" w:sz="8" w:color="1666AF"/>
            </w:tcBorders>
          </w:tcPr>
          <w:p>
            <w:pPr>
              <w:spacing w:after="0"/>
              <w:rPr>
                <w:sz w:val="21"/>
                <w:szCs w:val="21"/>
                <w:color w:val="auto"/>
              </w:rPr>
            </w:pPr>
          </w:p>
        </w:tc>
        <w:tc>
          <w:tcPr>
            <w:tcW w:w="740" w:type="dxa"/>
            <w:vAlign w:val="bottom"/>
            <w:tcBorders>
              <w:bottom w:val="single" w:sz="8" w:color="1666AF"/>
            </w:tcBorders>
          </w:tcPr>
          <w:p>
            <w:pPr>
              <w:spacing w:after="0"/>
              <w:rPr>
                <w:sz w:val="21"/>
                <w:szCs w:val="21"/>
                <w:color w:val="auto"/>
              </w:rPr>
            </w:pPr>
          </w:p>
        </w:tc>
      </w:tr>
      <w:tr>
        <w:trPr>
          <w:trHeight w:val="230"/>
        </w:trPr>
        <w:tc>
          <w:tcPr>
            <w:tcW w:w="580" w:type="dxa"/>
            <w:vAlign w:val="bottom"/>
            <w:tcBorders>
              <w:bottom w:val="single" w:sz="8" w:color="1666AF"/>
            </w:tcBorders>
          </w:tcPr>
          <w:p>
            <w:pPr>
              <w:ind w:left="40"/>
              <w:spacing w:after="0"/>
              <w:rPr>
                <w:rFonts w:ascii="Arial" w:cs="Arial" w:eastAsia="Arial" w:hAnsi="Arial"/>
                <w:sz w:val="16"/>
                <w:szCs w:val="16"/>
                <w:b w:val="1"/>
                <w:bCs w:val="1"/>
                <w:color w:val="005BA5"/>
              </w:rPr>
            </w:pPr>
            <w:hyperlink w:anchor="page3">
              <w:r>
                <w:rPr>
                  <w:rFonts w:ascii="Arial" w:cs="Arial" w:eastAsia="Arial" w:hAnsi="Arial"/>
                  <w:sz w:val="16"/>
                  <w:szCs w:val="16"/>
                  <w:b w:val="1"/>
                  <w:bCs w:val="1"/>
                  <w:color w:val="005BA5"/>
                </w:rPr>
                <w:t>Item 1.</w:t>
              </w:r>
            </w:hyperlink>
          </w:p>
        </w:tc>
        <w:tc>
          <w:tcPr>
            <w:tcW w:w="10100" w:type="dxa"/>
            <w:vAlign w:val="bottom"/>
            <w:tcBorders>
              <w:bottom w:val="single" w:sz="8" w:color="1666AF"/>
            </w:tcBorders>
          </w:tcPr>
          <w:p>
            <w:pPr>
              <w:ind w:left="60"/>
              <w:spacing w:after="0"/>
              <w:rPr>
                <w:rFonts w:ascii="Arial" w:cs="Arial" w:eastAsia="Arial" w:hAnsi="Arial"/>
                <w:sz w:val="16"/>
                <w:szCs w:val="16"/>
                <w:b w:val="1"/>
                <w:bCs w:val="1"/>
                <w:color w:val="005BA5"/>
              </w:rPr>
            </w:pPr>
            <w:hyperlink w:anchor="page3">
              <w:r>
                <w:rPr>
                  <w:rFonts w:ascii="Arial" w:cs="Arial" w:eastAsia="Arial" w:hAnsi="Arial"/>
                  <w:sz w:val="16"/>
                  <w:szCs w:val="16"/>
                  <w:b w:val="1"/>
                  <w:bCs w:val="1"/>
                  <w:color w:val="005BA5"/>
                </w:rPr>
                <w:t>Financial Statements</w:t>
              </w:r>
            </w:hyperlink>
          </w:p>
        </w:tc>
        <w:tc>
          <w:tcPr>
            <w:tcW w:w="740" w:type="dxa"/>
            <w:vAlign w:val="bottom"/>
            <w:tcBorders>
              <w:bottom w:val="single" w:sz="8" w:color="1666AF"/>
            </w:tcBorders>
          </w:tcPr>
          <w:p>
            <w:pPr>
              <w:spacing w:after="0"/>
              <w:rPr>
                <w:sz w:val="20"/>
                <w:szCs w:val="20"/>
                <w:color w:val="auto"/>
              </w:rPr>
            </w:pPr>
          </w:p>
        </w:tc>
      </w:tr>
      <w:tr>
        <w:trPr>
          <w:trHeight w:val="480"/>
        </w:trPr>
        <w:tc>
          <w:tcPr>
            <w:tcW w:w="580" w:type="dxa"/>
            <w:vAlign w:val="bottom"/>
          </w:tcPr>
          <w:p>
            <w:pPr>
              <w:spacing w:after="0"/>
              <w:rPr>
                <w:sz w:val="24"/>
                <w:szCs w:val="24"/>
                <w:color w:val="auto"/>
              </w:rPr>
            </w:pPr>
          </w:p>
        </w:tc>
        <w:tc>
          <w:tcPr>
            <w:tcW w:w="10100" w:type="dxa"/>
            <w:vAlign w:val="bottom"/>
          </w:tcPr>
          <w:p>
            <w:pPr>
              <w:ind w:left="40"/>
              <w:spacing w:after="0"/>
              <w:rPr>
                <w:sz w:val="20"/>
                <w:szCs w:val="20"/>
                <w:color w:val="auto"/>
              </w:rPr>
            </w:pPr>
            <w:r>
              <w:rPr>
                <w:rFonts w:ascii="Arial" w:cs="Arial" w:eastAsia="Arial" w:hAnsi="Arial"/>
                <w:sz w:val="16"/>
                <w:szCs w:val="16"/>
                <w:color w:val="auto"/>
              </w:rPr>
              <w:t>Condensed Consolidated Statements of Operations for the Three Month Periods Ended March 31, 2019 and 2018 (unaudited)</w:t>
            </w:r>
          </w:p>
        </w:tc>
        <w:tc>
          <w:tcPr>
            <w:tcW w:w="740" w:type="dxa"/>
            <w:vAlign w:val="bottom"/>
          </w:tcPr>
          <w:p>
            <w:pPr>
              <w:jc w:val="center"/>
              <w:spacing w:after="0"/>
              <w:rPr>
                <w:rFonts w:ascii="Arial" w:cs="Arial" w:eastAsia="Arial" w:hAnsi="Arial"/>
                <w:sz w:val="16"/>
                <w:szCs w:val="16"/>
                <w:color w:val="auto"/>
                <w:w w:val="89"/>
              </w:rPr>
            </w:pPr>
            <w:hyperlink w:anchor="page3">
              <w:r>
                <w:rPr>
                  <w:rFonts w:ascii="Arial" w:cs="Arial" w:eastAsia="Arial" w:hAnsi="Arial"/>
                  <w:sz w:val="16"/>
                  <w:szCs w:val="16"/>
                  <w:color w:val="auto"/>
                  <w:w w:val="89"/>
                </w:rPr>
                <w:t>1</w:t>
              </w:r>
            </w:hyperlink>
          </w:p>
        </w:tc>
      </w:tr>
      <w:tr>
        <w:trPr>
          <w:trHeight w:val="257"/>
        </w:trPr>
        <w:tc>
          <w:tcPr>
            <w:tcW w:w="580" w:type="dxa"/>
            <w:vAlign w:val="bottom"/>
          </w:tcPr>
          <w:p>
            <w:pPr>
              <w:spacing w:after="0"/>
              <w:rPr>
                <w:sz w:val="22"/>
                <w:szCs w:val="22"/>
                <w:color w:val="auto"/>
              </w:rPr>
            </w:pPr>
          </w:p>
        </w:tc>
        <w:tc>
          <w:tcPr>
            <w:tcW w:w="10100" w:type="dxa"/>
            <w:vAlign w:val="bottom"/>
          </w:tcPr>
          <w:p>
            <w:pPr>
              <w:ind w:left="40"/>
              <w:spacing w:after="0"/>
              <w:rPr>
                <w:sz w:val="20"/>
                <w:szCs w:val="20"/>
                <w:color w:val="auto"/>
              </w:rPr>
            </w:pPr>
            <w:r>
              <w:rPr>
                <w:rFonts w:ascii="Arial" w:cs="Arial" w:eastAsia="Arial" w:hAnsi="Arial"/>
                <w:sz w:val="16"/>
                <w:szCs w:val="16"/>
                <w:color w:val="auto"/>
              </w:rPr>
              <w:t>Condensed Consolidated Statements of Comprehensive Income for the Three Month Periods Ended March 31, 2019 and 2018 (unaudited)</w:t>
            </w:r>
          </w:p>
        </w:tc>
        <w:tc>
          <w:tcPr>
            <w:tcW w:w="740" w:type="dxa"/>
            <w:vAlign w:val="bottom"/>
          </w:tcPr>
          <w:p>
            <w:pPr>
              <w:jc w:val="center"/>
              <w:spacing w:after="0"/>
              <w:rPr>
                <w:rFonts w:ascii="Arial" w:cs="Arial" w:eastAsia="Arial" w:hAnsi="Arial"/>
                <w:sz w:val="16"/>
                <w:szCs w:val="16"/>
                <w:color w:val="auto"/>
                <w:w w:val="89"/>
              </w:rPr>
            </w:pPr>
            <w:hyperlink w:anchor="page4">
              <w:r>
                <w:rPr>
                  <w:rFonts w:ascii="Arial" w:cs="Arial" w:eastAsia="Arial" w:hAnsi="Arial"/>
                  <w:sz w:val="16"/>
                  <w:szCs w:val="16"/>
                  <w:color w:val="auto"/>
                  <w:w w:val="89"/>
                </w:rPr>
                <w:t>2</w:t>
              </w:r>
            </w:hyperlink>
          </w:p>
        </w:tc>
      </w:tr>
      <w:tr>
        <w:trPr>
          <w:trHeight w:val="243"/>
        </w:trPr>
        <w:tc>
          <w:tcPr>
            <w:tcW w:w="580" w:type="dxa"/>
            <w:vAlign w:val="bottom"/>
          </w:tcPr>
          <w:p>
            <w:pPr>
              <w:spacing w:after="0"/>
              <w:rPr>
                <w:sz w:val="21"/>
                <w:szCs w:val="21"/>
                <w:color w:val="auto"/>
              </w:rPr>
            </w:pPr>
          </w:p>
        </w:tc>
        <w:tc>
          <w:tcPr>
            <w:tcW w:w="10100" w:type="dxa"/>
            <w:vAlign w:val="bottom"/>
          </w:tcPr>
          <w:p>
            <w:pPr>
              <w:ind w:left="40"/>
              <w:spacing w:after="0"/>
              <w:rPr>
                <w:sz w:val="20"/>
                <w:szCs w:val="20"/>
                <w:color w:val="auto"/>
              </w:rPr>
            </w:pPr>
            <w:r>
              <w:rPr>
                <w:rFonts w:ascii="Arial" w:cs="Arial" w:eastAsia="Arial" w:hAnsi="Arial"/>
                <w:sz w:val="16"/>
                <w:szCs w:val="16"/>
                <w:color w:val="auto"/>
              </w:rPr>
              <w:t>Condensed Consolidated Statements of Financial Position as of March 31, 2019 and December 31, 2018 (unaudited)</w:t>
            </w:r>
          </w:p>
        </w:tc>
        <w:tc>
          <w:tcPr>
            <w:tcW w:w="740" w:type="dxa"/>
            <w:vAlign w:val="bottom"/>
          </w:tcPr>
          <w:p>
            <w:pPr>
              <w:jc w:val="center"/>
              <w:spacing w:after="0"/>
              <w:rPr>
                <w:rFonts w:ascii="Arial" w:cs="Arial" w:eastAsia="Arial" w:hAnsi="Arial"/>
                <w:sz w:val="16"/>
                <w:szCs w:val="16"/>
                <w:color w:val="auto"/>
                <w:w w:val="89"/>
              </w:rPr>
            </w:pPr>
            <w:hyperlink w:anchor="page5">
              <w:r>
                <w:rPr>
                  <w:rFonts w:ascii="Arial" w:cs="Arial" w:eastAsia="Arial" w:hAnsi="Arial"/>
                  <w:sz w:val="16"/>
                  <w:szCs w:val="16"/>
                  <w:color w:val="auto"/>
                  <w:w w:val="89"/>
                </w:rPr>
                <w:t>3</w:t>
              </w:r>
            </w:hyperlink>
          </w:p>
        </w:tc>
      </w:tr>
      <w:tr>
        <w:trPr>
          <w:trHeight w:val="243"/>
        </w:trPr>
        <w:tc>
          <w:tcPr>
            <w:tcW w:w="580" w:type="dxa"/>
            <w:vAlign w:val="bottom"/>
          </w:tcPr>
          <w:p>
            <w:pPr>
              <w:spacing w:after="0"/>
              <w:rPr>
                <w:sz w:val="21"/>
                <w:szCs w:val="21"/>
                <w:color w:val="auto"/>
              </w:rPr>
            </w:pPr>
          </w:p>
        </w:tc>
        <w:tc>
          <w:tcPr>
            <w:tcW w:w="10100" w:type="dxa"/>
            <w:vAlign w:val="bottom"/>
          </w:tcPr>
          <w:p>
            <w:pPr>
              <w:ind w:left="40"/>
              <w:spacing w:after="0"/>
              <w:rPr>
                <w:sz w:val="20"/>
                <w:szCs w:val="20"/>
                <w:color w:val="auto"/>
              </w:rPr>
            </w:pPr>
            <w:r>
              <w:rPr>
                <w:rFonts w:ascii="Arial" w:cs="Arial" w:eastAsia="Arial" w:hAnsi="Arial"/>
                <w:sz w:val="16"/>
                <w:szCs w:val="16"/>
                <w:color w:val="auto"/>
              </w:rPr>
              <w:t>Condensed Consolidated Statements of Shareholders’ Equity for the Three Month Periods Ended March 31, 2019 and 2018 (unaudited)</w:t>
            </w:r>
          </w:p>
        </w:tc>
        <w:tc>
          <w:tcPr>
            <w:tcW w:w="740" w:type="dxa"/>
            <w:vAlign w:val="bottom"/>
          </w:tcPr>
          <w:p>
            <w:pPr>
              <w:jc w:val="center"/>
              <w:spacing w:after="0"/>
              <w:rPr>
                <w:rFonts w:ascii="Arial" w:cs="Arial" w:eastAsia="Arial" w:hAnsi="Arial"/>
                <w:sz w:val="16"/>
                <w:szCs w:val="16"/>
                <w:color w:val="auto"/>
                <w:w w:val="89"/>
              </w:rPr>
            </w:pPr>
            <w:hyperlink w:anchor="page6">
              <w:r>
                <w:rPr>
                  <w:rFonts w:ascii="Arial" w:cs="Arial" w:eastAsia="Arial" w:hAnsi="Arial"/>
                  <w:sz w:val="16"/>
                  <w:szCs w:val="16"/>
                  <w:color w:val="auto"/>
                  <w:w w:val="89"/>
                </w:rPr>
                <w:t>4</w:t>
              </w:r>
            </w:hyperlink>
          </w:p>
        </w:tc>
      </w:tr>
      <w:tr>
        <w:trPr>
          <w:trHeight w:val="243"/>
        </w:trPr>
        <w:tc>
          <w:tcPr>
            <w:tcW w:w="580" w:type="dxa"/>
            <w:vAlign w:val="bottom"/>
          </w:tcPr>
          <w:p>
            <w:pPr>
              <w:spacing w:after="0"/>
              <w:rPr>
                <w:sz w:val="21"/>
                <w:szCs w:val="21"/>
                <w:color w:val="auto"/>
              </w:rPr>
            </w:pPr>
          </w:p>
        </w:tc>
        <w:tc>
          <w:tcPr>
            <w:tcW w:w="10100" w:type="dxa"/>
            <w:vAlign w:val="bottom"/>
          </w:tcPr>
          <w:p>
            <w:pPr>
              <w:ind w:left="40"/>
              <w:spacing w:after="0"/>
              <w:rPr>
                <w:sz w:val="20"/>
                <w:szCs w:val="20"/>
                <w:color w:val="auto"/>
              </w:rPr>
            </w:pPr>
            <w:r>
              <w:rPr>
                <w:rFonts w:ascii="Arial" w:cs="Arial" w:eastAsia="Arial" w:hAnsi="Arial"/>
                <w:sz w:val="16"/>
                <w:szCs w:val="16"/>
                <w:color w:val="auto"/>
              </w:rPr>
              <w:t>Condensed Consolidated Statements of Cash Flows for the Three Month Periods Ended March 31, 2019 and 2018 (unaudited)</w:t>
            </w:r>
          </w:p>
        </w:tc>
        <w:tc>
          <w:tcPr>
            <w:tcW w:w="740" w:type="dxa"/>
            <w:vAlign w:val="bottom"/>
          </w:tcPr>
          <w:p>
            <w:pPr>
              <w:jc w:val="center"/>
              <w:spacing w:after="0"/>
              <w:rPr>
                <w:rFonts w:ascii="Arial" w:cs="Arial" w:eastAsia="Arial" w:hAnsi="Arial"/>
                <w:sz w:val="16"/>
                <w:szCs w:val="16"/>
                <w:color w:val="auto"/>
                <w:w w:val="89"/>
              </w:rPr>
            </w:pPr>
            <w:hyperlink w:anchor="page7">
              <w:r>
                <w:rPr>
                  <w:rFonts w:ascii="Arial" w:cs="Arial" w:eastAsia="Arial" w:hAnsi="Arial"/>
                  <w:sz w:val="16"/>
                  <w:szCs w:val="16"/>
                  <w:color w:val="auto"/>
                  <w:w w:val="89"/>
                </w:rPr>
                <w:t>5</w:t>
              </w:r>
            </w:hyperlink>
          </w:p>
        </w:tc>
      </w:tr>
      <w:tr>
        <w:trPr>
          <w:trHeight w:val="243"/>
        </w:trPr>
        <w:tc>
          <w:tcPr>
            <w:tcW w:w="580" w:type="dxa"/>
            <w:vAlign w:val="bottom"/>
          </w:tcPr>
          <w:p>
            <w:pPr>
              <w:spacing w:after="0"/>
              <w:rPr>
                <w:sz w:val="21"/>
                <w:szCs w:val="21"/>
                <w:color w:val="auto"/>
              </w:rPr>
            </w:pPr>
          </w:p>
        </w:tc>
        <w:tc>
          <w:tcPr>
            <w:tcW w:w="10100" w:type="dxa"/>
            <w:vAlign w:val="bottom"/>
          </w:tcPr>
          <w:p>
            <w:pPr>
              <w:ind w:left="40"/>
              <w:spacing w:after="0"/>
              <w:rPr>
                <w:rFonts w:ascii="Arial" w:cs="Arial" w:eastAsia="Arial" w:hAnsi="Arial"/>
                <w:sz w:val="16"/>
                <w:szCs w:val="16"/>
                <w:color w:val="auto"/>
              </w:rPr>
            </w:pPr>
            <w:hyperlink w:anchor="page8">
              <w:r>
                <w:rPr>
                  <w:rFonts w:ascii="Arial" w:cs="Arial" w:eastAsia="Arial" w:hAnsi="Arial"/>
                  <w:sz w:val="16"/>
                  <w:szCs w:val="16"/>
                  <w:color w:val="auto"/>
                </w:rPr>
                <w:t>Notes to Condensed Consolidated Financial Statements (unaudited)</w:t>
              </w:r>
            </w:hyperlink>
          </w:p>
        </w:tc>
        <w:tc>
          <w:tcPr>
            <w:tcW w:w="740" w:type="dxa"/>
            <w:vAlign w:val="bottom"/>
          </w:tcPr>
          <w:p>
            <w:pPr>
              <w:jc w:val="center"/>
              <w:spacing w:after="0"/>
              <w:rPr>
                <w:rFonts w:ascii="Arial" w:cs="Arial" w:eastAsia="Arial" w:hAnsi="Arial"/>
                <w:sz w:val="16"/>
                <w:szCs w:val="16"/>
                <w:color w:val="auto"/>
                <w:w w:val="89"/>
              </w:rPr>
            </w:pPr>
            <w:hyperlink w:anchor="page8">
              <w:r>
                <w:rPr>
                  <w:rFonts w:ascii="Arial" w:cs="Arial" w:eastAsia="Arial" w:hAnsi="Arial"/>
                  <w:sz w:val="16"/>
                  <w:szCs w:val="16"/>
                  <w:color w:val="auto"/>
                  <w:w w:val="89"/>
                </w:rPr>
                <w:t>6</w:t>
              </w:r>
            </w:hyperlink>
          </w:p>
        </w:tc>
      </w:tr>
      <w:tr>
        <w:trPr>
          <w:trHeight w:val="243"/>
        </w:trPr>
        <w:tc>
          <w:tcPr>
            <w:tcW w:w="580" w:type="dxa"/>
            <w:vAlign w:val="bottom"/>
          </w:tcPr>
          <w:p>
            <w:pPr>
              <w:spacing w:after="0"/>
              <w:rPr>
                <w:sz w:val="21"/>
                <w:szCs w:val="21"/>
                <w:color w:val="auto"/>
              </w:rPr>
            </w:pPr>
          </w:p>
        </w:tc>
        <w:tc>
          <w:tcPr>
            <w:tcW w:w="10100" w:type="dxa"/>
            <w:vAlign w:val="bottom"/>
          </w:tcPr>
          <w:p>
            <w:pPr>
              <w:ind w:left="40"/>
              <w:spacing w:after="0"/>
              <w:rPr>
                <w:rFonts w:ascii="Arial" w:cs="Arial" w:eastAsia="Arial" w:hAnsi="Arial"/>
                <w:sz w:val="16"/>
                <w:szCs w:val="16"/>
                <w:color w:val="auto"/>
              </w:rPr>
            </w:pPr>
            <w:hyperlink w:anchor="page49">
              <w:r>
                <w:rPr>
                  <w:rFonts w:ascii="Arial" w:cs="Arial" w:eastAsia="Arial" w:hAnsi="Arial"/>
                  <w:sz w:val="16"/>
                  <w:szCs w:val="16"/>
                  <w:color w:val="auto"/>
                </w:rPr>
                <w:t>Report of Independent Registered Public Accounting Firm</w:t>
              </w:r>
            </w:hyperlink>
          </w:p>
        </w:tc>
        <w:tc>
          <w:tcPr>
            <w:tcW w:w="740" w:type="dxa"/>
            <w:vAlign w:val="bottom"/>
          </w:tcPr>
          <w:p>
            <w:pPr>
              <w:jc w:val="center"/>
              <w:spacing w:after="0"/>
              <w:rPr>
                <w:rFonts w:ascii="Arial" w:cs="Arial" w:eastAsia="Arial" w:hAnsi="Arial"/>
                <w:sz w:val="16"/>
                <w:szCs w:val="16"/>
                <w:color w:val="auto"/>
              </w:rPr>
            </w:pPr>
            <w:hyperlink w:anchor="page49">
              <w:r>
                <w:rPr>
                  <w:rFonts w:ascii="Arial" w:cs="Arial" w:eastAsia="Arial" w:hAnsi="Arial"/>
                  <w:sz w:val="16"/>
                  <w:szCs w:val="16"/>
                  <w:color w:val="auto"/>
                </w:rPr>
                <w:t>45</w:t>
              </w:r>
            </w:hyperlink>
          </w:p>
        </w:tc>
      </w:tr>
      <w:tr>
        <w:trPr>
          <w:trHeight w:val="290"/>
        </w:trPr>
        <w:tc>
          <w:tcPr>
            <w:tcW w:w="10680" w:type="dxa"/>
            <w:vAlign w:val="bottom"/>
            <w:tcBorders>
              <w:bottom w:val="single" w:sz="8" w:color="1666AF"/>
            </w:tcBorders>
            <w:gridSpan w:val="2"/>
          </w:tcPr>
          <w:p>
            <w:pPr>
              <w:spacing w:after="0"/>
              <w:rPr>
                <w:sz w:val="24"/>
                <w:szCs w:val="24"/>
                <w:color w:val="auto"/>
              </w:rPr>
            </w:pPr>
          </w:p>
        </w:tc>
        <w:tc>
          <w:tcPr>
            <w:tcW w:w="740" w:type="dxa"/>
            <w:vAlign w:val="bottom"/>
            <w:tcBorders>
              <w:bottom w:val="single" w:sz="8" w:color="1666AF"/>
            </w:tcBorders>
          </w:tcPr>
          <w:p>
            <w:pPr>
              <w:spacing w:after="0"/>
              <w:rPr>
                <w:sz w:val="24"/>
                <w:szCs w:val="24"/>
                <w:color w:val="auto"/>
              </w:rPr>
            </w:pPr>
          </w:p>
        </w:tc>
      </w:tr>
      <w:tr>
        <w:trPr>
          <w:trHeight w:val="230"/>
        </w:trPr>
        <w:tc>
          <w:tcPr>
            <w:tcW w:w="10680" w:type="dxa"/>
            <w:vAlign w:val="bottom"/>
            <w:tcBorders>
              <w:bottom w:val="single" w:sz="8" w:color="1666AF"/>
            </w:tcBorders>
            <w:gridSpan w:val="2"/>
          </w:tcPr>
          <w:p>
            <w:pPr>
              <w:ind w:left="40"/>
              <w:spacing w:after="0"/>
              <w:rPr>
                <w:rFonts w:ascii="Arial" w:cs="Arial" w:eastAsia="Arial" w:hAnsi="Arial"/>
                <w:sz w:val="16"/>
                <w:szCs w:val="16"/>
                <w:b w:val="1"/>
                <w:bCs w:val="1"/>
                <w:color w:val="005BA5"/>
              </w:rPr>
            </w:pPr>
            <w:hyperlink w:anchor="page50">
              <w:r>
                <w:rPr>
                  <w:rFonts w:ascii="Arial" w:cs="Arial" w:eastAsia="Arial" w:hAnsi="Arial"/>
                  <w:sz w:val="16"/>
                  <w:szCs w:val="16"/>
                  <w:b w:val="1"/>
                  <w:bCs w:val="1"/>
                  <w:color w:val="005BA5"/>
                </w:rPr>
                <w:t>Item 2. Management’s Discussion and Analysis of Financial Condition and Results of Operations</w:t>
              </w:r>
            </w:hyperlink>
          </w:p>
        </w:tc>
        <w:tc>
          <w:tcPr>
            <w:tcW w:w="740" w:type="dxa"/>
            <w:vAlign w:val="bottom"/>
            <w:tcBorders>
              <w:bottom w:val="single" w:sz="8" w:color="1666AF"/>
            </w:tcBorders>
          </w:tcPr>
          <w:p>
            <w:pPr>
              <w:spacing w:after="0"/>
              <w:rPr>
                <w:sz w:val="20"/>
                <w:szCs w:val="20"/>
                <w:color w:val="auto"/>
              </w:rPr>
            </w:pPr>
          </w:p>
        </w:tc>
      </w:tr>
      <w:tr>
        <w:trPr>
          <w:trHeight w:val="467"/>
        </w:trPr>
        <w:tc>
          <w:tcPr>
            <w:tcW w:w="580" w:type="dxa"/>
            <w:vAlign w:val="bottom"/>
          </w:tcPr>
          <w:p>
            <w:pPr>
              <w:spacing w:after="0"/>
              <w:rPr>
                <w:sz w:val="24"/>
                <w:szCs w:val="24"/>
                <w:color w:val="auto"/>
              </w:rPr>
            </w:pPr>
          </w:p>
        </w:tc>
        <w:tc>
          <w:tcPr>
            <w:tcW w:w="10100" w:type="dxa"/>
            <w:vAlign w:val="bottom"/>
          </w:tcPr>
          <w:p>
            <w:pPr>
              <w:ind w:left="40"/>
              <w:spacing w:after="0"/>
              <w:rPr>
                <w:sz w:val="20"/>
                <w:szCs w:val="20"/>
                <w:color w:val="auto"/>
              </w:rPr>
            </w:pPr>
            <w:r>
              <w:rPr>
                <w:rFonts w:ascii="Arial" w:cs="Arial" w:eastAsia="Arial" w:hAnsi="Arial"/>
                <w:sz w:val="16"/>
                <w:szCs w:val="16"/>
                <w:color w:val="auto"/>
              </w:rPr>
              <w:t>Highlights</w:t>
            </w:r>
          </w:p>
        </w:tc>
        <w:tc>
          <w:tcPr>
            <w:tcW w:w="740" w:type="dxa"/>
            <w:vAlign w:val="bottom"/>
          </w:tcPr>
          <w:p>
            <w:pPr>
              <w:jc w:val="center"/>
              <w:spacing w:after="0"/>
              <w:rPr>
                <w:rFonts w:ascii="Arial" w:cs="Arial" w:eastAsia="Arial" w:hAnsi="Arial"/>
                <w:sz w:val="16"/>
                <w:szCs w:val="16"/>
                <w:color w:val="auto"/>
              </w:rPr>
            </w:pPr>
            <w:hyperlink w:anchor="page50">
              <w:r>
                <w:rPr>
                  <w:rFonts w:ascii="Arial" w:cs="Arial" w:eastAsia="Arial" w:hAnsi="Arial"/>
                  <w:sz w:val="16"/>
                  <w:szCs w:val="16"/>
                  <w:color w:val="auto"/>
                </w:rPr>
                <w:t>46</w:t>
              </w:r>
            </w:hyperlink>
          </w:p>
        </w:tc>
      </w:tr>
      <w:tr>
        <w:trPr>
          <w:trHeight w:val="243"/>
        </w:trPr>
        <w:tc>
          <w:tcPr>
            <w:tcW w:w="580" w:type="dxa"/>
            <w:vAlign w:val="bottom"/>
          </w:tcPr>
          <w:p>
            <w:pPr>
              <w:spacing w:after="0"/>
              <w:rPr>
                <w:sz w:val="21"/>
                <w:szCs w:val="21"/>
                <w:color w:val="auto"/>
              </w:rPr>
            </w:pPr>
          </w:p>
        </w:tc>
        <w:tc>
          <w:tcPr>
            <w:tcW w:w="10100" w:type="dxa"/>
            <w:vAlign w:val="bottom"/>
          </w:tcPr>
          <w:p>
            <w:pPr>
              <w:ind w:left="40"/>
              <w:spacing w:after="0"/>
              <w:rPr>
                <w:rFonts w:ascii="Arial" w:cs="Arial" w:eastAsia="Arial" w:hAnsi="Arial"/>
                <w:sz w:val="16"/>
                <w:szCs w:val="16"/>
                <w:color w:val="auto"/>
              </w:rPr>
            </w:pPr>
            <w:hyperlink w:anchor="page54">
              <w:r>
                <w:rPr>
                  <w:rFonts w:ascii="Arial" w:cs="Arial" w:eastAsia="Arial" w:hAnsi="Arial"/>
                  <w:sz w:val="16"/>
                  <w:szCs w:val="16"/>
                  <w:color w:val="auto"/>
                </w:rPr>
                <w:t>Consolidated Net Income</w:t>
              </w:r>
            </w:hyperlink>
          </w:p>
        </w:tc>
        <w:tc>
          <w:tcPr>
            <w:tcW w:w="740" w:type="dxa"/>
            <w:vAlign w:val="bottom"/>
          </w:tcPr>
          <w:p>
            <w:pPr>
              <w:jc w:val="center"/>
              <w:spacing w:after="0"/>
              <w:rPr>
                <w:rFonts w:ascii="Arial" w:cs="Arial" w:eastAsia="Arial" w:hAnsi="Arial"/>
                <w:sz w:val="16"/>
                <w:szCs w:val="16"/>
                <w:color w:val="auto"/>
              </w:rPr>
            </w:pPr>
            <w:hyperlink w:anchor="page54">
              <w:r>
                <w:rPr>
                  <w:rFonts w:ascii="Arial" w:cs="Arial" w:eastAsia="Arial" w:hAnsi="Arial"/>
                  <w:sz w:val="16"/>
                  <w:szCs w:val="16"/>
                  <w:color w:val="auto"/>
                </w:rPr>
                <w:t>50</w:t>
              </w:r>
            </w:hyperlink>
          </w:p>
        </w:tc>
      </w:tr>
      <w:tr>
        <w:trPr>
          <w:trHeight w:val="256"/>
        </w:trPr>
        <w:tc>
          <w:tcPr>
            <w:tcW w:w="580" w:type="dxa"/>
            <w:vAlign w:val="bottom"/>
            <w:tcBorders>
              <w:bottom w:val="single" w:sz="8" w:color="005BA5"/>
            </w:tcBorders>
          </w:tcPr>
          <w:p>
            <w:pPr>
              <w:spacing w:after="0"/>
              <w:rPr>
                <w:sz w:val="22"/>
                <w:szCs w:val="22"/>
                <w:color w:val="auto"/>
              </w:rPr>
            </w:pPr>
          </w:p>
        </w:tc>
        <w:tc>
          <w:tcPr>
            <w:tcW w:w="10100" w:type="dxa"/>
            <w:vAlign w:val="bottom"/>
            <w:tcBorders>
              <w:bottom w:val="single" w:sz="8" w:color="005BA5"/>
            </w:tcBorders>
          </w:tcPr>
          <w:p>
            <w:pPr>
              <w:ind w:left="40"/>
              <w:spacing w:after="0"/>
              <w:rPr>
                <w:sz w:val="20"/>
                <w:szCs w:val="20"/>
                <w:color w:val="auto"/>
              </w:rPr>
            </w:pPr>
            <w:r>
              <w:rPr>
                <w:rFonts w:ascii="Arial" w:cs="Arial" w:eastAsia="Arial" w:hAnsi="Arial"/>
                <w:sz w:val="16"/>
                <w:szCs w:val="16"/>
                <w:color w:val="auto"/>
              </w:rPr>
              <w:t>Property-Liability Operations</w:t>
            </w:r>
          </w:p>
        </w:tc>
        <w:tc>
          <w:tcPr>
            <w:tcW w:w="740" w:type="dxa"/>
            <w:vAlign w:val="bottom"/>
            <w:tcBorders>
              <w:bottom w:val="single" w:sz="8" w:color="005BA5"/>
            </w:tcBorders>
          </w:tcPr>
          <w:p>
            <w:pPr>
              <w:jc w:val="center"/>
              <w:spacing w:after="0"/>
              <w:rPr>
                <w:rFonts w:ascii="Arial" w:cs="Arial" w:eastAsia="Arial" w:hAnsi="Arial"/>
                <w:sz w:val="16"/>
                <w:szCs w:val="16"/>
                <w:color w:val="auto"/>
              </w:rPr>
            </w:pPr>
            <w:hyperlink w:anchor="page55">
              <w:r>
                <w:rPr>
                  <w:rFonts w:ascii="Arial" w:cs="Arial" w:eastAsia="Arial" w:hAnsi="Arial"/>
                  <w:sz w:val="16"/>
                  <w:szCs w:val="16"/>
                  <w:color w:val="auto"/>
                </w:rPr>
                <w:t>51</w:t>
              </w:r>
            </w:hyperlink>
          </w:p>
        </w:tc>
      </w:tr>
      <w:tr>
        <w:trPr>
          <w:trHeight w:val="224"/>
        </w:trPr>
        <w:tc>
          <w:tcPr>
            <w:tcW w:w="580" w:type="dxa"/>
            <w:vAlign w:val="bottom"/>
          </w:tcPr>
          <w:p>
            <w:pPr>
              <w:spacing w:after="0"/>
              <w:rPr>
                <w:sz w:val="19"/>
                <w:szCs w:val="19"/>
                <w:color w:val="auto"/>
              </w:rPr>
            </w:pPr>
          </w:p>
        </w:tc>
        <w:tc>
          <w:tcPr>
            <w:tcW w:w="10100" w:type="dxa"/>
            <w:vAlign w:val="bottom"/>
          </w:tcPr>
          <w:p>
            <w:pPr>
              <w:ind w:left="40"/>
              <w:spacing w:after="0"/>
              <w:rPr>
                <w:rFonts w:ascii="Arial" w:cs="Arial" w:eastAsia="Arial" w:hAnsi="Arial"/>
                <w:sz w:val="16"/>
                <w:szCs w:val="16"/>
                <w:color w:val="auto"/>
              </w:rPr>
            </w:pPr>
            <w:hyperlink w:anchor="page58">
              <w:r>
                <w:rPr>
                  <w:rFonts w:ascii="Arial" w:cs="Arial" w:eastAsia="Arial" w:hAnsi="Arial"/>
                  <w:sz w:val="16"/>
                  <w:szCs w:val="16"/>
                  <w:color w:val="auto"/>
                </w:rPr>
                <w:t>Allstate Protection</w:t>
              </w:r>
            </w:hyperlink>
          </w:p>
        </w:tc>
        <w:tc>
          <w:tcPr>
            <w:tcW w:w="740" w:type="dxa"/>
            <w:vAlign w:val="bottom"/>
          </w:tcPr>
          <w:p>
            <w:pPr>
              <w:jc w:val="center"/>
              <w:spacing w:after="0"/>
              <w:rPr>
                <w:rFonts w:ascii="Arial" w:cs="Arial" w:eastAsia="Arial" w:hAnsi="Arial"/>
                <w:sz w:val="16"/>
                <w:szCs w:val="16"/>
                <w:color w:val="auto"/>
              </w:rPr>
            </w:pPr>
            <w:hyperlink w:anchor="page58">
              <w:r>
                <w:rPr>
                  <w:rFonts w:ascii="Arial" w:cs="Arial" w:eastAsia="Arial" w:hAnsi="Arial"/>
                  <w:sz w:val="16"/>
                  <w:szCs w:val="16"/>
                  <w:color w:val="auto"/>
                </w:rPr>
                <w:t>54</w:t>
              </w:r>
            </w:hyperlink>
          </w:p>
        </w:tc>
      </w:tr>
      <w:tr>
        <w:trPr>
          <w:trHeight w:val="243"/>
        </w:trPr>
        <w:tc>
          <w:tcPr>
            <w:tcW w:w="580" w:type="dxa"/>
            <w:vAlign w:val="bottom"/>
          </w:tcPr>
          <w:p>
            <w:pPr>
              <w:spacing w:after="0"/>
              <w:rPr>
                <w:sz w:val="21"/>
                <w:szCs w:val="21"/>
                <w:color w:val="auto"/>
              </w:rPr>
            </w:pPr>
          </w:p>
        </w:tc>
        <w:tc>
          <w:tcPr>
            <w:tcW w:w="10100" w:type="dxa"/>
            <w:vAlign w:val="bottom"/>
          </w:tcPr>
          <w:p>
            <w:pPr>
              <w:ind w:left="280"/>
              <w:spacing w:after="0"/>
              <w:rPr>
                <w:sz w:val="20"/>
                <w:szCs w:val="20"/>
                <w:color w:val="auto"/>
              </w:rPr>
            </w:pPr>
            <w:r>
              <w:rPr>
                <w:rFonts w:ascii="Arial" w:cs="Arial" w:eastAsia="Arial" w:hAnsi="Arial"/>
                <w:sz w:val="16"/>
                <w:szCs w:val="16"/>
                <w:color w:val="005BA5"/>
              </w:rPr>
              <w:t xml:space="preserve">– </w:t>
            </w:r>
            <w:r>
              <w:rPr>
                <w:rFonts w:ascii="Arial" w:cs="Arial" w:eastAsia="Arial" w:hAnsi="Arial"/>
                <w:sz w:val="16"/>
                <w:szCs w:val="16"/>
                <w:color w:val="000000"/>
              </w:rPr>
              <w:t>Allstate brand</w:t>
            </w:r>
          </w:p>
        </w:tc>
        <w:tc>
          <w:tcPr>
            <w:tcW w:w="740" w:type="dxa"/>
            <w:vAlign w:val="bottom"/>
          </w:tcPr>
          <w:p>
            <w:pPr>
              <w:jc w:val="center"/>
              <w:spacing w:after="0"/>
              <w:rPr>
                <w:rFonts w:ascii="Arial" w:cs="Arial" w:eastAsia="Arial" w:hAnsi="Arial"/>
                <w:sz w:val="16"/>
                <w:szCs w:val="16"/>
                <w:color w:val="auto"/>
              </w:rPr>
            </w:pPr>
            <w:hyperlink w:anchor="page64">
              <w:r>
                <w:rPr>
                  <w:rFonts w:ascii="Arial" w:cs="Arial" w:eastAsia="Arial" w:hAnsi="Arial"/>
                  <w:sz w:val="16"/>
                  <w:szCs w:val="16"/>
                  <w:color w:val="auto"/>
                </w:rPr>
                <w:t>60</w:t>
              </w:r>
            </w:hyperlink>
          </w:p>
        </w:tc>
      </w:tr>
      <w:tr>
        <w:trPr>
          <w:trHeight w:val="243"/>
        </w:trPr>
        <w:tc>
          <w:tcPr>
            <w:tcW w:w="580" w:type="dxa"/>
            <w:vAlign w:val="bottom"/>
          </w:tcPr>
          <w:p>
            <w:pPr>
              <w:spacing w:after="0"/>
              <w:rPr>
                <w:sz w:val="21"/>
                <w:szCs w:val="21"/>
                <w:color w:val="auto"/>
              </w:rPr>
            </w:pPr>
          </w:p>
        </w:tc>
        <w:tc>
          <w:tcPr>
            <w:tcW w:w="10100" w:type="dxa"/>
            <w:vAlign w:val="bottom"/>
          </w:tcPr>
          <w:p>
            <w:pPr>
              <w:ind w:left="280"/>
              <w:spacing w:after="0"/>
              <w:rPr>
                <w:sz w:val="20"/>
                <w:szCs w:val="20"/>
                <w:color w:val="auto"/>
              </w:rPr>
            </w:pPr>
            <w:r>
              <w:rPr>
                <w:rFonts w:ascii="Arial" w:cs="Arial" w:eastAsia="Arial" w:hAnsi="Arial"/>
                <w:sz w:val="16"/>
                <w:szCs w:val="16"/>
                <w:color w:val="005BA5"/>
              </w:rPr>
              <w:t xml:space="preserve">– </w:t>
            </w:r>
            <w:r>
              <w:rPr>
                <w:rFonts w:ascii="Arial" w:cs="Arial" w:eastAsia="Arial" w:hAnsi="Arial"/>
                <w:sz w:val="16"/>
                <w:szCs w:val="16"/>
                <w:color w:val="000000"/>
              </w:rPr>
              <w:t>Esurance brand</w:t>
            </w:r>
          </w:p>
        </w:tc>
        <w:tc>
          <w:tcPr>
            <w:tcW w:w="740" w:type="dxa"/>
            <w:vAlign w:val="bottom"/>
          </w:tcPr>
          <w:p>
            <w:pPr>
              <w:jc w:val="center"/>
              <w:spacing w:after="0"/>
              <w:rPr>
                <w:rFonts w:ascii="Arial" w:cs="Arial" w:eastAsia="Arial" w:hAnsi="Arial"/>
                <w:sz w:val="16"/>
                <w:szCs w:val="16"/>
                <w:color w:val="auto"/>
              </w:rPr>
            </w:pPr>
            <w:hyperlink w:anchor="page69">
              <w:r>
                <w:rPr>
                  <w:rFonts w:ascii="Arial" w:cs="Arial" w:eastAsia="Arial" w:hAnsi="Arial"/>
                  <w:sz w:val="16"/>
                  <w:szCs w:val="16"/>
                  <w:color w:val="auto"/>
                </w:rPr>
                <w:t>65</w:t>
              </w:r>
            </w:hyperlink>
          </w:p>
        </w:tc>
      </w:tr>
      <w:tr>
        <w:trPr>
          <w:trHeight w:val="243"/>
        </w:trPr>
        <w:tc>
          <w:tcPr>
            <w:tcW w:w="580" w:type="dxa"/>
            <w:vAlign w:val="bottom"/>
          </w:tcPr>
          <w:p>
            <w:pPr>
              <w:spacing w:after="0"/>
              <w:rPr>
                <w:sz w:val="21"/>
                <w:szCs w:val="21"/>
                <w:color w:val="auto"/>
              </w:rPr>
            </w:pPr>
          </w:p>
        </w:tc>
        <w:tc>
          <w:tcPr>
            <w:tcW w:w="10100" w:type="dxa"/>
            <w:vAlign w:val="bottom"/>
          </w:tcPr>
          <w:p>
            <w:pPr>
              <w:ind w:left="280"/>
              <w:spacing w:after="0"/>
              <w:rPr>
                <w:sz w:val="20"/>
                <w:szCs w:val="20"/>
                <w:color w:val="auto"/>
              </w:rPr>
            </w:pPr>
            <w:r>
              <w:rPr>
                <w:rFonts w:ascii="Arial" w:cs="Arial" w:eastAsia="Arial" w:hAnsi="Arial"/>
                <w:sz w:val="16"/>
                <w:szCs w:val="16"/>
                <w:color w:val="005BA5"/>
              </w:rPr>
              <w:t xml:space="preserve">– </w:t>
            </w:r>
            <w:r>
              <w:rPr>
                <w:rFonts w:ascii="Arial" w:cs="Arial" w:eastAsia="Arial" w:hAnsi="Arial"/>
                <w:sz w:val="16"/>
                <w:szCs w:val="16"/>
                <w:color w:val="000000"/>
              </w:rPr>
              <w:t>Encompass brand</w:t>
            </w:r>
          </w:p>
        </w:tc>
        <w:tc>
          <w:tcPr>
            <w:tcW w:w="740" w:type="dxa"/>
            <w:vAlign w:val="bottom"/>
          </w:tcPr>
          <w:p>
            <w:pPr>
              <w:jc w:val="center"/>
              <w:spacing w:after="0"/>
              <w:rPr>
                <w:rFonts w:ascii="Arial" w:cs="Arial" w:eastAsia="Arial" w:hAnsi="Arial"/>
                <w:sz w:val="16"/>
                <w:szCs w:val="16"/>
                <w:color w:val="auto"/>
              </w:rPr>
            </w:pPr>
            <w:hyperlink w:anchor="page72">
              <w:r>
                <w:rPr>
                  <w:rFonts w:ascii="Arial" w:cs="Arial" w:eastAsia="Arial" w:hAnsi="Arial"/>
                  <w:sz w:val="16"/>
                  <w:szCs w:val="16"/>
                  <w:color w:val="auto"/>
                </w:rPr>
                <w:t>68</w:t>
              </w:r>
            </w:hyperlink>
          </w:p>
        </w:tc>
      </w:tr>
      <w:tr>
        <w:trPr>
          <w:trHeight w:val="243"/>
        </w:trPr>
        <w:tc>
          <w:tcPr>
            <w:tcW w:w="580" w:type="dxa"/>
            <w:vAlign w:val="bottom"/>
          </w:tcPr>
          <w:p>
            <w:pPr>
              <w:spacing w:after="0"/>
              <w:rPr>
                <w:sz w:val="21"/>
                <w:szCs w:val="21"/>
                <w:color w:val="auto"/>
              </w:rPr>
            </w:pPr>
          </w:p>
        </w:tc>
        <w:tc>
          <w:tcPr>
            <w:tcW w:w="10100" w:type="dxa"/>
            <w:vAlign w:val="bottom"/>
          </w:tcPr>
          <w:p>
            <w:pPr>
              <w:ind w:left="40"/>
              <w:spacing w:after="0"/>
              <w:rPr>
                <w:sz w:val="20"/>
                <w:szCs w:val="20"/>
                <w:color w:val="auto"/>
              </w:rPr>
            </w:pPr>
            <w:r>
              <w:rPr>
                <w:rFonts w:ascii="Arial" w:cs="Arial" w:eastAsia="Arial" w:hAnsi="Arial"/>
                <w:sz w:val="16"/>
                <w:szCs w:val="16"/>
                <w:color w:val="auto"/>
              </w:rPr>
              <w:t>Discontinued Lines and Coverages</w:t>
            </w:r>
          </w:p>
        </w:tc>
        <w:tc>
          <w:tcPr>
            <w:tcW w:w="740" w:type="dxa"/>
            <w:vAlign w:val="bottom"/>
          </w:tcPr>
          <w:p>
            <w:pPr>
              <w:jc w:val="center"/>
              <w:spacing w:after="0"/>
              <w:rPr>
                <w:rFonts w:ascii="Arial" w:cs="Arial" w:eastAsia="Arial" w:hAnsi="Arial"/>
                <w:sz w:val="16"/>
                <w:szCs w:val="16"/>
                <w:color w:val="auto"/>
              </w:rPr>
            </w:pPr>
            <w:hyperlink w:anchor="page76">
              <w:r>
                <w:rPr>
                  <w:rFonts w:ascii="Arial" w:cs="Arial" w:eastAsia="Arial" w:hAnsi="Arial"/>
                  <w:sz w:val="16"/>
                  <w:szCs w:val="16"/>
                  <w:color w:val="auto"/>
                </w:rPr>
                <w:t>72</w:t>
              </w:r>
            </w:hyperlink>
          </w:p>
        </w:tc>
      </w:tr>
      <w:tr>
        <w:trPr>
          <w:trHeight w:val="243"/>
        </w:trPr>
        <w:tc>
          <w:tcPr>
            <w:tcW w:w="580" w:type="dxa"/>
            <w:vAlign w:val="bottom"/>
          </w:tcPr>
          <w:p>
            <w:pPr>
              <w:spacing w:after="0"/>
              <w:rPr>
                <w:sz w:val="21"/>
                <w:szCs w:val="21"/>
                <w:color w:val="auto"/>
              </w:rPr>
            </w:pPr>
          </w:p>
        </w:tc>
        <w:tc>
          <w:tcPr>
            <w:tcW w:w="10100" w:type="dxa"/>
            <w:vAlign w:val="bottom"/>
          </w:tcPr>
          <w:p>
            <w:pPr>
              <w:ind w:left="40"/>
              <w:spacing w:after="0"/>
              <w:rPr>
                <w:sz w:val="20"/>
                <w:szCs w:val="20"/>
                <w:color w:val="auto"/>
              </w:rPr>
            </w:pPr>
            <w:r>
              <w:rPr>
                <w:rFonts w:ascii="Arial" w:cs="Arial" w:eastAsia="Arial" w:hAnsi="Arial"/>
                <w:sz w:val="16"/>
                <w:szCs w:val="16"/>
                <w:color w:val="auto"/>
              </w:rPr>
              <w:t>Service Businesses</w:t>
            </w:r>
          </w:p>
        </w:tc>
        <w:tc>
          <w:tcPr>
            <w:tcW w:w="740" w:type="dxa"/>
            <w:vAlign w:val="bottom"/>
          </w:tcPr>
          <w:p>
            <w:pPr>
              <w:jc w:val="center"/>
              <w:spacing w:after="0"/>
              <w:rPr>
                <w:rFonts w:ascii="Arial" w:cs="Arial" w:eastAsia="Arial" w:hAnsi="Arial"/>
                <w:sz w:val="16"/>
                <w:szCs w:val="16"/>
                <w:color w:val="auto"/>
              </w:rPr>
            </w:pPr>
            <w:hyperlink w:anchor="page78">
              <w:r>
                <w:rPr>
                  <w:rFonts w:ascii="Arial" w:cs="Arial" w:eastAsia="Arial" w:hAnsi="Arial"/>
                  <w:sz w:val="16"/>
                  <w:szCs w:val="16"/>
                  <w:color w:val="auto"/>
                </w:rPr>
                <w:t>74</w:t>
              </w:r>
            </w:hyperlink>
          </w:p>
        </w:tc>
      </w:tr>
      <w:tr>
        <w:trPr>
          <w:trHeight w:val="243"/>
        </w:trPr>
        <w:tc>
          <w:tcPr>
            <w:tcW w:w="580" w:type="dxa"/>
            <w:vAlign w:val="bottom"/>
          </w:tcPr>
          <w:p>
            <w:pPr>
              <w:spacing w:after="0"/>
              <w:rPr>
                <w:sz w:val="21"/>
                <w:szCs w:val="21"/>
                <w:color w:val="auto"/>
              </w:rPr>
            </w:pPr>
          </w:p>
        </w:tc>
        <w:tc>
          <w:tcPr>
            <w:tcW w:w="10100" w:type="dxa"/>
            <w:vAlign w:val="bottom"/>
          </w:tcPr>
          <w:p>
            <w:pPr>
              <w:ind w:left="40"/>
              <w:spacing w:after="0"/>
              <w:rPr>
                <w:sz w:val="20"/>
                <w:szCs w:val="20"/>
                <w:color w:val="auto"/>
              </w:rPr>
            </w:pPr>
            <w:r>
              <w:rPr>
                <w:rFonts w:ascii="Arial" w:cs="Arial" w:eastAsia="Arial" w:hAnsi="Arial"/>
                <w:sz w:val="16"/>
                <w:szCs w:val="16"/>
                <w:color w:val="auto"/>
              </w:rPr>
              <w:t>Allstate Life</w:t>
            </w:r>
          </w:p>
        </w:tc>
        <w:tc>
          <w:tcPr>
            <w:tcW w:w="740" w:type="dxa"/>
            <w:vAlign w:val="bottom"/>
          </w:tcPr>
          <w:p>
            <w:pPr>
              <w:jc w:val="center"/>
              <w:spacing w:after="0"/>
              <w:rPr>
                <w:rFonts w:ascii="Arial" w:cs="Arial" w:eastAsia="Arial" w:hAnsi="Arial"/>
                <w:sz w:val="16"/>
                <w:szCs w:val="16"/>
                <w:color w:val="auto"/>
              </w:rPr>
            </w:pPr>
            <w:hyperlink w:anchor="page80">
              <w:r>
                <w:rPr>
                  <w:rFonts w:ascii="Arial" w:cs="Arial" w:eastAsia="Arial" w:hAnsi="Arial"/>
                  <w:sz w:val="16"/>
                  <w:szCs w:val="16"/>
                  <w:color w:val="auto"/>
                </w:rPr>
                <w:t>76</w:t>
              </w:r>
            </w:hyperlink>
          </w:p>
        </w:tc>
      </w:tr>
      <w:tr>
        <w:trPr>
          <w:trHeight w:val="243"/>
        </w:trPr>
        <w:tc>
          <w:tcPr>
            <w:tcW w:w="580" w:type="dxa"/>
            <w:vAlign w:val="bottom"/>
          </w:tcPr>
          <w:p>
            <w:pPr>
              <w:spacing w:after="0"/>
              <w:rPr>
                <w:sz w:val="21"/>
                <w:szCs w:val="21"/>
                <w:color w:val="auto"/>
              </w:rPr>
            </w:pPr>
          </w:p>
        </w:tc>
        <w:tc>
          <w:tcPr>
            <w:tcW w:w="10100" w:type="dxa"/>
            <w:vAlign w:val="bottom"/>
          </w:tcPr>
          <w:p>
            <w:pPr>
              <w:ind w:left="40"/>
              <w:spacing w:after="0"/>
              <w:rPr>
                <w:sz w:val="20"/>
                <w:szCs w:val="20"/>
                <w:color w:val="auto"/>
              </w:rPr>
            </w:pPr>
            <w:r>
              <w:rPr>
                <w:rFonts w:ascii="Arial" w:cs="Arial" w:eastAsia="Arial" w:hAnsi="Arial"/>
                <w:sz w:val="16"/>
                <w:szCs w:val="16"/>
                <w:color w:val="auto"/>
              </w:rPr>
              <w:t>Allstate Benefits</w:t>
            </w:r>
          </w:p>
        </w:tc>
        <w:tc>
          <w:tcPr>
            <w:tcW w:w="740" w:type="dxa"/>
            <w:vAlign w:val="bottom"/>
          </w:tcPr>
          <w:p>
            <w:pPr>
              <w:jc w:val="center"/>
              <w:spacing w:after="0"/>
              <w:rPr>
                <w:rFonts w:ascii="Arial" w:cs="Arial" w:eastAsia="Arial" w:hAnsi="Arial"/>
                <w:sz w:val="16"/>
                <w:szCs w:val="16"/>
                <w:color w:val="auto"/>
              </w:rPr>
            </w:pPr>
            <w:hyperlink w:anchor="page82">
              <w:r>
                <w:rPr>
                  <w:rFonts w:ascii="Arial" w:cs="Arial" w:eastAsia="Arial" w:hAnsi="Arial"/>
                  <w:sz w:val="16"/>
                  <w:szCs w:val="16"/>
                  <w:color w:val="auto"/>
                </w:rPr>
                <w:t>78</w:t>
              </w:r>
            </w:hyperlink>
          </w:p>
        </w:tc>
      </w:tr>
      <w:tr>
        <w:trPr>
          <w:trHeight w:val="256"/>
        </w:trPr>
        <w:tc>
          <w:tcPr>
            <w:tcW w:w="580" w:type="dxa"/>
            <w:vAlign w:val="bottom"/>
            <w:tcBorders>
              <w:bottom w:val="single" w:sz="8" w:color="005BA5"/>
            </w:tcBorders>
          </w:tcPr>
          <w:p>
            <w:pPr>
              <w:spacing w:after="0"/>
              <w:rPr>
                <w:sz w:val="22"/>
                <w:szCs w:val="22"/>
                <w:color w:val="auto"/>
              </w:rPr>
            </w:pPr>
          </w:p>
        </w:tc>
        <w:tc>
          <w:tcPr>
            <w:tcW w:w="10100" w:type="dxa"/>
            <w:vAlign w:val="bottom"/>
            <w:tcBorders>
              <w:bottom w:val="single" w:sz="8" w:color="005BA5"/>
            </w:tcBorders>
          </w:tcPr>
          <w:p>
            <w:pPr>
              <w:ind w:left="40"/>
              <w:spacing w:after="0"/>
              <w:rPr>
                <w:sz w:val="20"/>
                <w:szCs w:val="20"/>
                <w:color w:val="auto"/>
              </w:rPr>
            </w:pPr>
            <w:r>
              <w:rPr>
                <w:rFonts w:ascii="Arial" w:cs="Arial" w:eastAsia="Arial" w:hAnsi="Arial"/>
                <w:sz w:val="16"/>
                <w:szCs w:val="16"/>
                <w:color w:val="auto"/>
              </w:rPr>
              <w:t>Allstate Annuities</w:t>
            </w:r>
          </w:p>
        </w:tc>
        <w:tc>
          <w:tcPr>
            <w:tcW w:w="740" w:type="dxa"/>
            <w:vAlign w:val="bottom"/>
            <w:tcBorders>
              <w:bottom w:val="single" w:sz="8" w:color="005BA5"/>
            </w:tcBorders>
          </w:tcPr>
          <w:p>
            <w:pPr>
              <w:jc w:val="center"/>
              <w:spacing w:after="0"/>
              <w:rPr>
                <w:rFonts w:ascii="Arial" w:cs="Arial" w:eastAsia="Arial" w:hAnsi="Arial"/>
                <w:sz w:val="16"/>
                <w:szCs w:val="16"/>
                <w:color w:val="auto"/>
              </w:rPr>
            </w:pPr>
            <w:hyperlink w:anchor="page84">
              <w:r>
                <w:rPr>
                  <w:rFonts w:ascii="Arial" w:cs="Arial" w:eastAsia="Arial" w:hAnsi="Arial"/>
                  <w:sz w:val="16"/>
                  <w:szCs w:val="16"/>
                  <w:color w:val="auto"/>
                </w:rPr>
                <w:t>80</w:t>
              </w:r>
            </w:hyperlink>
          </w:p>
        </w:tc>
      </w:tr>
      <w:tr>
        <w:trPr>
          <w:trHeight w:val="224"/>
        </w:trPr>
        <w:tc>
          <w:tcPr>
            <w:tcW w:w="580" w:type="dxa"/>
            <w:vAlign w:val="bottom"/>
          </w:tcPr>
          <w:p>
            <w:pPr>
              <w:spacing w:after="0"/>
              <w:rPr>
                <w:sz w:val="19"/>
                <w:szCs w:val="19"/>
                <w:color w:val="auto"/>
              </w:rPr>
            </w:pPr>
          </w:p>
        </w:tc>
        <w:tc>
          <w:tcPr>
            <w:tcW w:w="101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740" w:type="dxa"/>
            <w:vAlign w:val="bottom"/>
          </w:tcPr>
          <w:p>
            <w:pPr>
              <w:jc w:val="center"/>
              <w:spacing w:after="0"/>
              <w:rPr>
                <w:rFonts w:ascii="Arial" w:cs="Arial" w:eastAsia="Arial" w:hAnsi="Arial"/>
                <w:sz w:val="16"/>
                <w:szCs w:val="16"/>
                <w:color w:val="auto"/>
              </w:rPr>
            </w:pPr>
            <w:hyperlink w:anchor="page87">
              <w:r>
                <w:rPr>
                  <w:rFonts w:ascii="Arial" w:cs="Arial" w:eastAsia="Arial" w:hAnsi="Arial"/>
                  <w:sz w:val="16"/>
                  <w:szCs w:val="16"/>
                  <w:color w:val="auto"/>
                </w:rPr>
                <w:t>83</w:t>
              </w:r>
            </w:hyperlink>
          </w:p>
        </w:tc>
      </w:tr>
      <w:tr>
        <w:trPr>
          <w:trHeight w:val="243"/>
        </w:trPr>
        <w:tc>
          <w:tcPr>
            <w:tcW w:w="580" w:type="dxa"/>
            <w:vAlign w:val="bottom"/>
          </w:tcPr>
          <w:p>
            <w:pPr>
              <w:spacing w:after="0"/>
              <w:rPr>
                <w:sz w:val="21"/>
                <w:szCs w:val="21"/>
                <w:color w:val="auto"/>
              </w:rPr>
            </w:pPr>
          </w:p>
        </w:tc>
        <w:tc>
          <w:tcPr>
            <w:tcW w:w="10100" w:type="dxa"/>
            <w:vAlign w:val="bottom"/>
          </w:tcPr>
          <w:p>
            <w:pPr>
              <w:ind w:left="40"/>
              <w:spacing w:after="0"/>
              <w:rPr>
                <w:rFonts w:ascii="Arial" w:cs="Arial" w:eastAsia="Arial" w:hAnsi="Arial"/>
                <w:sz w:val="16"/>
                <w:szCs w:val="16"/>
                <w:color w:val="auto"/>
              </w:rPr>
            </w:pPr>
            <w:hyperlink w:anchor="page94">
              <w:r>
                <w:rPr>
                  <w:rFonts w:ascii="Arial" w:cs="Arial" w:eastAsia="Arial" w:hAnsi="Arial"/>
                  <w:sz w:val="16"/>
                  <w:szCs w:val="16"/>
                  <w:color w:val="auto"/>
                </w:rPr>
                <w:t>Capital Resources and Liquidity</w:t>
              </w:r>
            </w:hyperlink>
          </w:p>
        </w:tc>
        <w:tc>
          <w:tcPr>
            <w:tcW w:w="740" w:type="dxa"/>
            <w:vAlign w:val="bottom"/>
          </w:tcPr>
          <w:p>
            <w:pPr>
              <w:jc w:val="center"/>
              <w:spacing w:after="0"/>
              <w:rPr>
                <w:rFonts w:ascii="Arial" w:cs="Arial" w:eastAsia="Arial" w:hAnsi="Arial"/>
                <w:sz w:val="16"/>
                <w:szCs w:val="16"/>
                <w:color w:val="auto"/>
              </w:rPr>
            </w:pPr>
            <w:hyperlink w:anchor="page94">
              <w:r>
                <w:rPr>
                  <w:rFonts w:ascii="Arial" w:cs="Arial" w:eastAsia="Arial" w:hAnsi="Arial"/>
                  <w:sz w:val="16"/>
                  <w:szCs w:val="16"/>
                  <w:color w:val="auto"/>
                </w:rPr>
                <w:t>90</w:t>
              </w:r>
            </w:hyperlink>
          </w:p>
        </w:tc>
      </w:tr>
      <w:tr>
        <w:trPr>
          <w:trHeight w:val="270"/>
        </w:trPr>
        <w:tc>
          <w:tcPr>
            <w:tcW w:w="580" w:type="dxa"/>
            <w:vAlign w:val="bottom"/>
          </w:tcPr>
          <w:p>
            <w:pPr>
              <w:spacing w:after="0"/>
              <w:rPr>
                <w:sz w:val="23"/>
                <w:szCs w:val="23"/>
                <w:color w:val="auto"/>
              </w:rPr>
            </w:pPr>
          </w:p>
        </w:tc>
        <w:tc>
          <w:tcPr>
            <w:tcW w:w="10100" w:type="dxa"/>
            <w:vAlign w:val="bottom"/>
          </w:tcPr>
          <w:p>
            <w:pPr>
              <w:ind w:left="40"/>
              <w:spacing w:after="0"/>
              <w:rPr>
                <w:rFonts w:ascii="Arial" w:cs="Arial" w:eastAsia="Arial" w:hAnsi="Arial"/>
                <w:sz w:val="16"/>
                <w:szCs w:val="16"/>
                <w:color w:val="auto"/>
              </w:rPr>
            </w:pPr>
            <w:hyperlink w:anchor="page97">
              <w:r>
                <w:rPr>
                  <w:rFonts w:ascii="Arial" w:cs="Arial" w:eastAsia="Arial" w:hAnsi="Arial"/>
                  <w:sz w:val="16"/>
                  <w:szCs w:val="16"/>
                  <w:color w:val="auto"/>
                </w:rPr>
                <w:t>Forward-Looking Statements</w:t>
              </w:r>
            </w:hyperlink>
          </w:p>
        </w:tc>
        <w:tc>
          <w:tcPr>
            <w:tcW w:w="740" w:type="dxa"/>
            <w:vAlign w:val="bottom"/>
          </w:tcPr>
          <w:p>
            <w:pPr>
              <w:jc w:val="center"/>
              <w:spacing w:after="0"/>
              <w:rPr>
                <w:rFonts w:ascii="Arial" w:cs="Arial" w:eastAsia="Arial" w:hAnsi="Arial"/>
                <w:sz w:val="16"/>
                <w:szCs w:val="16"/>
                <w:color w:val="auto"/>
              </w:rPr>
            </w:pPr>
            <w:hyperlink w:anchor="page97">
              <w:r>
                <w:rPr>
                  <w:rFonts w:ascii="Arial" w:cs="Arial" w:eastAsia="Arial" w:hAnsi="Arial"/>
                  <w:sz w:val="16"/>
                  <w:szCs w:val="16"/>
                  <w:color w:val="auto"/>
                </w:rPr>
                <w:t>93</w:t>
              </w:r>
            </w:hyperlink>
          </w:p>
        </w:tc>
      </w:tr>
      <w:tr>
        <w:trPr>
          <w:trHeight w:val="290"/>
        </w:trPr>
        <w:tc>
          <w:tcPr>
            <w:tcW w:w="10680" w:type="dxa"/>
            <w:vAlign w:val="bottom"/>
            <w:tcBorders>
              <w:bottom w:val="single" w:sz="8" w:color="1666AF"/>
            </w:tcBorders>
            <w:gridSpan w:val="2"/>
          </w:tcPr>
          <w:p>
            <w:pPr>
              <w:spacing w:after="0"/>
              <w:rPr>
                <w:sz w:val="24"/>
                <w:szCs w:val="24"/>
                <w:color w:val="auto"/>
              </w:rPr>
            </w:pPr>
          </w:p>
        </w:tc>
        <w:tc>
          <w:tcPr>
            <w:tcW w:w="740" w:type="dxa"/>
            <w:vAlign w:val="bottom"/>
            <w:tcBorders>
              <w:bottom w:val="single" w:sz="8" w:color="1666AF"/>
            </w:tcBorders>
          </w:tcPr>
          <w:p>
            <w:pPr>
              <w:spacing w:after="0"/>
              <w:rPr>
                <w:sz w:val="24"/>
                <w:szCs w:val="24"/>
                <w:color w:val="auto"/>
              </w:rPr>
            </w:pPr>
          </w:p>
        </w:tc>
      </w:tr>
      <w:tr>
        <w:trPr>
          <w:trHeight w:val="230"/>
        </w:trPr>
        <w:tc>
          <w:tcPr>
            <w:tcW w:w="10680" w:type="dxa"/>
            <w:vAlign w:val="bottom"/>
            <w:tcBorders>
              <w:bottom w:val="single" w:sz="8" w:color="1666AF"/>
            </w:tcBorders>
            <w:gridSpan w:val="2"/>
          </w:tcPr>
          <w:p>
            <w:pPr>
              <w:ind w:left="40"/>
              <w:spacing w:after="0"/>
              <w:rPr>
                <w:rFonts w:ascii="Arial" w:cs="Arial" w:eastAsia="Arial" w:hAnsi="Arial"/>
                <w:sz w:val="16"/>
                <w:szCs w:val="16"/>
                <w:b w:val="1"/>
                <w:bCs w:val="1"/>
                <w:color w:val="005BA5"/>
              </w:rPr>
            </w:pPr>
            <w:hyperlink w:anchor="page97">
              <w:r>
                <w:rPr>
                  <w:rFonts w:ascii="Arial" w:cs="Arial" w:eastAsia="Arial" w:hAnsi="Arial"/>
                  <w:sz w:val="16"/>
                  <w:szCs w:val="16"/>
                  <w:b w:val="1"/>
                  <w:bCs w:val="1"/>
                  <w:color w:val="005BA5"/>
                </w:rPr>
                <w:t>Item 4. Controls and Procedures</w:t>
              </w:r>
            </w:hyperlink>
          </w:p>
        </w:tc>
        <w:tc>
          <w:tcPr>
            <w:tcW w:w="740" w:type="dxa"/>
            <w:vAlign w:val="bottom"/>
            <w:tcBorders>
              <w:bottom w:val="single" w:sz="8" w:color="1666AF"/>
            </w:tcBorders>
          </w:tcPr>
          <w:p>
            <w:pPr>
              <w:jc w:val="center"/>
              <w:spacing w:after="0"/>
              <w:rPr>
                <w:rFonts w:ascii="Arial" w:cs="Arial" w:eastAsia="Arial" w:hAnsi="Arial"/>
                <w:sz w:val="16"/>
                <w:szCs w:val="16"/>
                <w:color w:val="auto"/>
              </w:rPr>
            </w:pPr>
            <w:hyperlink w:anchor="page97">
              <w:r>
                <w:rPr>
                  <w:rFonts w:ascii="Arial" w:cs="Arial" w:eastAsia="Arial" w:hAnsi="Arial"/>
                  <w:sz w:val="16"/>
                  <w:szCs w:val="16"/>
                  <w:color w:val="auto"/>
                </w:rPr>
                <w:t>93</w:t>
              </w:r>
            </w:hyperlink>
          </w:p>
        </w:tc>
      </w:tr>
      <w:tr>
        <w:trPr>
          <w:trHeight w:val="504"/>
        </w:trPr>
        <w:tc>
          <w:tcPr>
            <w:tcW w:w="10680" w:type="dxa"/>
            <w:vAlign w:val="bottom"/>
            <w:gridSpan w:val="2"/>
          </w:tcPr>
          <w:p>
            <w:pPr>
              <w:ind w:left="40"/>
              <w:spacing w:after="0"/>
              <w:rPr>
                <w:sz w:val="20"/>
                <w:szCs w:val="20"/>
                <w:color w:val="auto"/>
              </w:rPr>
            </w:pPr>
            <w:r>
              <w:rPr>
                <w:rFonts w:ascii="Arial" w:cs="Arial" w:eastAsia="Arial" w:hAnsi="Arial"/>
                <w:sz w:val="20"/>
                <w:szCs w:val="20"/>
                <w:b w:val="1"/>
                <w:bCs w:val="1"/>
                <w:color w:val="1666AF"/>
              </w:rPr>
              <w:t>Part II Other Information</w:t>
            </w:r>
          </w:p>
        </w:tc>
        <w:tc>
          <w:tcPr>
            <w:tcW w:w="740" w:type="dxa"/>
            <w:vAlign w:val="bottom"/>
          </w:tcPr>
          <w:p>
            <w:pPr>
              <w:spacing w:after="0"/>
              <w:rPr>
                <w:sz w:val="24"/>
                <w:szCs w:val="24"/>
                <w:color w:val="auto"/>
              </w:rPr>
            </w:pPr>
          </w:p>
        </w:tc>
      </w:tr>
      <w:tr>
        <w:trPr>
          <w:trHeight w:val="233"/>
        </w:trPr>
        <w:tc>
          <w:tcPr>
            <w:tcW w:w="580" w:type="dxa"/>
            <w:vAlign w:val="bottom"/>
          </w:tcPr>
          <w:p>
            <w:pPr>
              <w:ind w:left="40"/>
              <w:spacing w:after="0"/>
              <w:rPr>
                <w:rFonts w:ascii="Arial" w:cs="Arial" w:eastAsia="Arial" w:hAnsi="Arial"/>
                <w:sz w:val="16"/>
                <w:szCs w:val="16"/>
                <w:color w:val="auto"/>
              </w:rPr>
            </w:pPr>
            <w:hyperlink w:anchor="page98">
              <w:r>
                <w:rPr>
                  <w:rFonts w:ascii="Arial" w:cs="Arial" w:eastAsia="Arial" w:hAnsi="Arial"/>
                  <w:sz w:val="16"/>
                  <w:szCs w:val="16"/>
                  <w:color w:val="auto"/>
                </w:rPr>
                <w:t>Item 1.</w:t>
              </w:r>
            </w:hyperlink>
          </w:p>
        </w:tc>
        <w:tc>
          <w:tcPr>
            <w:tcW w:w="10100" w:type="dxa"/>
            <w:vAlign w:val="bottom"/>
          </w:tcPr>
          <w:p>
            <w:pPr>
              <w:ind w:left="180"/>
              <w:spacing w:after="0"/>
              <w:rPr>
                <w:rFonts w:ascii="Arial" w:cs="Arial" w:eastAsia="Arial" w:hAnsi="Arial"/>
                <w:sz w:val="16"/>
                <w:szCs w:val="16"/>
                <w:color w:val="auto"/>
              </w:rPr>
            </w:pPr>
            <w:hyperlink w:anchor="page98">
              <w:r>
                <w:rPr>
                  <w:rFonts w:ascii="Arial" w:cs="Arial" w:eastAsia="Arial" w:hAnsi="Arial"/>
                  <w:sz w:val="16"/>
                  <w:szCs w:val="16"/>
                  <w:color w:val="auto"/>
                </w:rPr>
                <w:t>Legal Proceedings</w:t>
              </w:r>
            </w:hyperlink>
          </w:p>
        </w:tc>
        <w:tc>
          <w:tcPr>
            <w:tcW w:w="740" w:type="dxa"/>
            <w:vAlign w:val="bottom"/>
          </w:tcPr>
          <w:p>
            <w:pPr>
              <w:jc w:val="center"/>
              <w:spacing w:after="0"/>
              <w:rPr>
                <w:rFonts w:ascii="Arial" w:cs="Arial" w:eastAsia="Arial" w:hAnsi="Arial"/>
                <w:sz w:val="16"/>
                <w:szCs w:val="16"/>
                <w:color w:val="auto"/>
              </w:rPr>
            </w:pPr>
            <w:hyperlink w:anchor="page98">
              <w:r>
                <w:rPr>
                  <w:rFonts w:ascii="Arial" w:cs="Arial" w:eastAsia="Arial" w:hAnsi="Arial"/>
                  <w:sz w:val="16"/>
                  <w:szCs w:val="16"/>
                  <w:color w:val="auto"/>
                </w:rPr>
                <w:t>94</w:t>
              </w:r>
            </w:hyperlink>
          </w:p>
        </w:tc>
      </w:tr>
      <w:tr>
        <w:trPr>
          <w:trHeight w:val="243"/>
        </w:trPr>
        <w:tc>
          <w:tcPr>
            <w:tcW w:w="10680" w:type="dxa"/>
            <w:vAlign w:val="bottom"/>
            <w:gridSpan w:val="2"/>
          </w:tcPr>
          <w:p>
            <w:pPr>
              <w:ind w:left="40"/>
              <w:spacing w:after="0"/>
              <w:rPr>
                <w:rFonts w:ascii="Arial" w:cs="Arial" w:eastAsia="Arial" w:hAnsi="Arial"/>
                <w:sz w:val="16"/>
                <w:szCs w:val="16"/>
                <w:color w:val="auto"/>
              </w:rPr>
            </w:pPr>
            <w:hyperlink w:anchor="page98">
              <w:r>
                <w:rPr>
                  <w:rFonts w:ascii="Arial" w:cs="Arial" w:eastAsia="Arial" w:hAnsi="Arial"/>
                  <w:sz w:val="16"/>
                  <w:szCs w:val="16"/>
                  <w:color w:val="auto"/>
                </w:rPr>
                <w:t>Item 1A. Risk Factors</w:t>
              </w:r>
            </w:hyperlink>
          </w:p>
        </w:tc>
        <w:tc>
          <w:tcPr>
            <w:tcW w:w="740" w:type="dxa"/>
            <w:vAlign w:val="bottom"/>
          </w:tcPr>
          <w:p>
            <w:pPr>
              <w:jc w:val="center"/>
              <w:spacing w:after="0"/>
              <w:rPr>
                <w:rFonts w:ascii="Arial" w:cs="Arial" w:eastAsia="Arial" w:hAnsi="Arial"/>
                <w:sz w:val="16"/>
                <w:szCs w:val="16"/>
                <w:color w:val="auto"/>
              </w:rPr>
            </w:pPr>
            <w:hyperlink w:anchor="page98">
              <w:r>
                <w:rPr>
                  <w:rFonts w:ascii="Arial" w:cs="Arial" w:eastAsia="Arial" w:hAnsi="Arial"/>
                  <w:sz w:val="16"/>
                  <w:szCs w:val="16"/>
                  <w:color w:val="auto"/>
                </w:rPr>
                <w:t>94</w:t>
              </w:r>
            </w:hyperlink>
          </w:p>
        </w:tc>
      </w:tr>
      <w:tr>
        <w:trPr>
          <w:trHeight w:val="243"/>
        </w:trPr>
        <w:tc>
          <w:tcPr>
            <w:tcW w:w="10680" w:type="dxa"/>
            <w:vAlign w:val="bottom"/>
            <w:gridSpan w:val="2"/>
          </w:tcPr>
          <w:p>
            <w:pPr>
              <w:ind w:left="40"/>
              <w:spacing w:after="0"/>
              <w:rPr>
                <w:rFonts w:ascii="Arial" w:cs="Arial" w:eastAsia="Arial" w:hAnsi="Arial"/>
                <w:sz w:val="16"/>
                <w:szCs w:val="16"/>
                <w:color w:val="auto"/>
              </w:rPr>
            </w:pPr>
            <w:hyperlink w:anchor="page98">
              <w:r>
                <w:rPr>
                  <w:rFonts w:ascii="Arial" w:cs="Arial" w:eastAsia="Arial" w:hAnsi="Arial"/>
                  <w:sz w:val="16"/>
                  <w:szCs w:val="16"/>
                  <w:color w:val="auto"/>
                </w:rPr>
                <w:t>Item 2.  Unregistered Sales of Equity Securities and Use of Proceeds</w:t>
              </w:r>
            </w:hyperlink>
          </w:p>
        </w:tc>
        <w:tc>
          <w:tcPr>
            <w:tcW w:w="740" w:type="dxa"/>
            <w:vAlign w:val="bottom"/>
          </w:tcPr>
          <w:p>
            <w:pPr>
              <w:jc w:val="center"/>
              <w:spacing w:after="0"/>
              <w:rPr>
                <w:rFonts w:ascii="Arial" w:cs="Arial" w:eastAsia="Arial" w:hAnsi="Arial"/>
                <w:sz w:val="16"/>
                <w:szCs w:val="16"/>
                <w:color w:val="auto"/>
              </w:rPr>
            </w:pPr>
            <w:hyperlink w:anchor="page98">
              <w:r>
                <w:rPr>
                  <w:rFonts w:ascii="Arial" w:cs="Arial" w:eastAsia="Arial" w:hAnsi="Arial"/>
                  <w:sz w:val="16"/>
                  <w:szCs w:val="16"/>
                  <w:color w:val="auto"/>
                </w:rPr>
                <w:t>94</w:t>
              </w:r>
            </w:hyperlink>
          </w:p>
        </w:tc>
      </w:tr>
      <w:tr>
        <w:trPr>
          <w:trHeight w:val="243"/>
        </w:trPr>
        <w:tc>
          <w:tcPr>
            <w:tcW w:w="580" w:type="dxa"/>
            <w:vAlign w:val="bottom"/>
          </w:tcPr>
          <w:p>
            <w:pPr>
              <w:ind w:left="40"/>
              <w:spacing w:after="0"/>
              <w:rPr>
                <w:rFonts w:ascii="Arial" w:cs="Arial" w:eastAsia="Arial" w:hAnsi="Arial"/>
                <w:sz w:val="16"/>
                <w:szCs w:val="16"/>
                <w:color w:val="auto"/>
              </w:rPr>
            </w:pPr>
            <w:hyperlink w:anchor="page99">
              <w:r>
                <w:rPr>
                  <w:rFonts w:ascii="Arial" w:cs="Arial" w:eastAsia="Arial" w:hAnsi="Arial"/>
                  <w:sz w:val="16"/>
                  <w:szCs w:val="16"/>
                  <w:color w:val="auto"/>
                </w:rPr>
                <w:t>Item 6.</w:t>
              </w:r>
            </w:hyperlink>
          </w:p>
        </w:tc>
        <w:tc>
          <w:tcPr>
            <w:tcW w:w="10100" w:type="dxa"/>
            <w:vAlign w:val="bottom"/>
          </w:tcPr>
          <w:p>
            <w:pPr>
              <w:ind w:left="140"/>
              <w:spacing w:after="0"/>
              <w:rPr>
                <w:rFonts w:ascii="Arial" w:cs="Arial" w:eastAsia="Arial" w:hAnsi="Arial"/>
                <w:sz w:val="16"/>
                <w:szCs w:val="16"/>
                <w:color w:val="auto"/>
              </w:rPr>
            </w:pPr>
            <w:hyperlink w:anchor="page99">
              <w:r>
                <w:rPr>
                  <w:rFonts w:ascii="Arial" w:cs="Arial" w:eastAsia="Arial" w:hAnsi="Arial"/>
                  <w:sz w:val="16"/>
                  <w:szCs w:val="16"/>
                  <w:color w:val="auto"/>
                </w:rPr>
                <w:t>Exhibits</w:t>
              </w:r>
            </w:hyperlink>
          </w:p>
        </w:tc>
        <w:tc>
          <w:tcPr>
            <w:tcW w:w="740" w:type="dxa"/>
            <w:vAlign w:val="bottom"/>
          </w:tcPr>
          <w:p>
            <w:pPr>
              <w:jc w:val="center"/>
              <w:spacing w:after="0"/>
              <w:rPr>
                <w:rFonts w:ascii="Arial" w:cs="Arial" w:eastAsia="Arial" w:hAnsi="Arial"/>
                <w:sz w:val="16"/>
                <w:szCs w:val="16"/>
                <w:color w:val="auto"/>
              </w:rPr>
            </w:pPr>
            <w:hyperlink w:anchor="page99">
              <w:r>
                <w:rPr>
                  <w:rFonts w:ascii="Arial" w:cs="Arial" w:eastAsia="Arial" w:hAnsi="Arial"/>
                  <w:sz w:val="16"/>
                  <w:szCs w:val="16"/>
                  <w:color w:val="auto"/>
                </w:rPr>
                <w:t>95</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-2971165</wp:posOffset>
            </wp:positionV>
            <wp:extent cx="205740" cy="1029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 cy="102933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ind w:left="8040"/>
        <w:spacing w:after="0"/>
        <w:rPr>
          <w:sz w:val="20"/>
          <w:szCs w:val="20"/>
          <w:color w:val="auto"/>
        </w:rPr>
      </w:pPr>
      <w:r>
        <w:rPr>
          <w:rFonts w:ascii="Arial" w:cs="Arial" w:eastAsia="Arial" w:hAnsi="Arial"/>
          <w:sz w:val="16"/>
          <w:szCs w:val="16"/>
          <w:color w:val="005BA5"/>
        </w:rPr>
        <w:t>Condensed Consolidated Financial Statements</w:t>
      </w:r>
    </w:p>
    <w:p>
      <w:pPr>
        <w:spacing w:after="0" w:line="327" w:lineRule="exact"/>
        <w:rPr>
          <w:sz w:val="20"/>
          <w:szCs w:val="20"/>
          <w:color w:val="auto"/>
        </w:rPr>
      </w:pPr>
    </w:p>
    <w:p>
      <w:pPr>
        <w:ind w:left="4420"/>
        <w:spacing w:after="0"/>
        <w:rPr>
          <w:sz w:val="20"/>
          <w:szCs w:val="20"/>
          <w:color w:val="auto"/>
        </w:rPr>
      </w:pPr>
      <w:r>
        <w:rPr>
          <w:rFonts w:ascii="Arial" w:cs="Arial" w:eastAsia="Arial" w:hAnsi="Arial"/>
          <w:sz w:val="20"/>
          <w:szCs w:val="20"/>
          <w:b w:val="1"/>
          <w:bCs w:val="1"/>
          <w:color w:val="1666AF"/>
        </w:rPr>
        <w:t>Part I. Financial Information</w:t>
      </w:r>
    </w:p>
    <w:p>
      <w:pPr>
        <w:spacing w:after="0" w:line="24" w:lineRule="exact"/>
        <w:rPr>
          <w:sz w:val="20"/>
          <w:szCs w:val="20"/>
          <w:color w:val="auto"/>
        </w:rPr>
      </w:pPr>
    </w:p>
    <w:p>
      <w:pPr>
        <w:ind w:left="4380"/>
        <w:spacing w:after="0"/>
        <w:rPr>
          <w:sz w:val="20"/>
          <w:szCs w:val="20"/>
          <w:color w:val="auto"/>
        </w:rPr>
      </w:pPr>
      <w:r>
        <w:rPr>
          <w:rFonts w:ascii="Arial" w:cs="Arial" w:eastAsia="Arial" w:hAnsi="Arial"/>
          <w:sz w:val="20"/>
          <w:szCs w:val="20"/>
          <w:b w:val="1"/>
          <w:bCs w:val="1"/>
          <w:color w:val="1666AF"/>
        </w:rPr>
        <w:t>Item 1. Financial Statements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666AF"/>
        </w:rPr>
        <w:t>The Allstate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666AF"/>
        </w:rPr>
        <w:t>Condensed 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1666AF"/>
            </w:tcBorders>
          </w:tcPr>
          <w:p>
            <w:pPr>
              <w:ind w:left="40"/>
              <w:spacing w:after="0"/>
              <w:rPr>
                <w:sz w:val="20"/>
                <w:szCs w:val="20"/>
                <w:color w:val="auto"/>
              </w:rPr>
            </w:pPr>
            <w:r>
              <w:rPr>
                <w:rFonts w:ascii="Arial" w:cs="Arial" w:eastAsia="Arial" w:hAnsi="Arial"/>
                <w:sz w:val="14"/>
                <w:szCs w:val="14"/>
                <w:b w:val="1"/>
                <w:bCs w:val="1"/>
                <w:color w:val="auto"/>
              </w:rPr>
              <w:t>($ in millions, except per share data)</w:t>
            </w:r>
          </w:p>
        </w:tc>
        <w:tc>
          <w:tcPr>
            <w:tcW w:w="120" w:type="dxa"/>
            <w:vAlign w:val="bottom"/>
          </w:tcPr>
          <w:p>
            <w:pPr>
              <w:spacing w:after="0"/>
              <w:rPr>
                <w:sz w:val="20"/>
                <w:szCs w:val="20"/>
                <w:color w:val="auto"/>
              </w:rPr>
            </w:pPr>
          </w:p>
        </w:tc>
        <w:tc>
          <w:tcPr>
            <w:tcW w:w="320" w:type="dxa"/>
            <w:vAlign w:val="bottom"/>
            <w:tcBorders>
              <w:bottom w:val="single" w:sz="8" w:color="1666AF"/>
            </w:tcBorders>
          </w:tcPr>
          <w:p>
            <w:pPr>
              <w:spacing w:after="0"/>
              <w:rPr>
                <w:sz w:val="20"/>
                <w:szCs w:val="20"/>
                <w:color w:val="auto"/>
              </w:rPr>
            </w:pPr>
          </w:p>
        </w:tc>
        <w:tc>
          <w:tcPr>
            <w:tcW w:w="1060" w:type="dxa"/>
            <w:vAlign w:val="bottom"/>
            <w:tcBorders>
              <w:bottom w:val="single" w:sz="8" w:color="1666AF"/>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1666AF"/>
            </w:tcBorders>
          </w:tcPr>
          <w:p>
            <w:pPr>
              <w:spacing w:after="0"/>
              <w:rPr>
                <w:sz w:val="20"/>
                <w:szCs w:val="20"/>
                <w:color w:val="auto"/>
              </w:rPr>
            </w:pPr>
          </w:p>
        </w:tc>
        <w:tc>
          <w:tcPr>
            <w:tcW w:w="1040" w:type="dxa"/>
            <w:vAlign w:val="bottom"/>
            <w:tcBorders>
              <w:bottom w:val="single" w:sz="8" w:color="1666AF"/>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Property and casualty insurance premiums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8,802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8,286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Life premiums and contract charges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color w:val="auto"/>
              </w:rPr>
              <w:t>Total other-than-temporary impairment (“OTTI”) losses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color w:val="auto"/>
              </w:rPr>
              <w:t>OTTI losses reclassified to (from) other comprehensive income ("OCI")</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720"/>
              <w:spacing w:after="0"/>
              <w:rPr>
                <w:sz w:val="20"/>
                <w:szCs w:val="20"/>
                <w:color w:val="auto"/>
              </w:rPr>
            </w:pPr>
            <w:r>
              <w:rPr>
                <w:rFonts w:ascii="Arial" w:cs="Arial" w:eastAsia="Arial" w:hAnsi="Arial"/>
                <w:sz w:val="16"/>
                <w:szCs w:val="16"/>
                <w:b w:val="1"/>
                <w:bCs w:val="1"/>
                <w:color w:val="auto"/>
              </w:rPr>
              <w:t>Net OTTI losses recognized in earnings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color w:val="auto"/>
              </w:rPr>
              <w:t>Sales and valuation changes on equity investments and derivatives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720"/>
              <w:spacing w:after="0"/>
              <w:rPr>
                <w:sz w:val="20"/>
                <w:szCs w:val="20"/>
                <w:color w:val="auto"/>
              </w:rPr>
            </w:pPr>
            <w:r>
              <w:rPr>
                <w:rFonts w:ascii="Arial" w:cs="Arial" w:eastAsia="Arial" w:hAnsi="Arial"/>
                <w:sz w:val="16"/>
                <w:szCs w:val="16"/>
                <w:b w:val="1"/>
                <w:bCs w:val="1"/>
                <w:color w:val="auto"/>
              </w:rPr>
              <w:t>Total realized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662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(134)</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10,990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9,770</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6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40" w:type="dxa"/>
            <w:vAlign w:val="bottom"/>
            <w:tcBorders>
              <w:top w:val="single" w:sz="8" w:color="ACACAC"/>
              <w:bottom w:val="single" w:sz="8" w:color="ACACAC"/>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Property and casualty insurance claims and claims expense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5,820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5,129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Life contract benefits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Interest credited to contractholder funds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Amortization of deferred policy acquisition costs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1,273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1,303</w:t>
            </w:r>
          </w:p>
        </w:tc>
      </w:tr>
      <w:tr>
        <w:trPr>
          <w:trHeight w:val="33"/>
        </w:trPr>
        <w:tc>
          <w:tcPr>
            <w:tcW w:w="8580" w:type="dxa"/>
            <w:vAlign w:val="bottom"/>
            <w:tcBorders>
              <w:bottom w:val="single" w:sz="8" w:color="ACACAC"/>
            </w:tcBorders>
            <w:gridSpan w:val="2"/>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Pension and other postretirement remeasurement gains and losses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8580" w:type="dxa"/>
            <w:vAlign w:val="bottom"/>
            <w:tcBorders>
              <w:bottom w:val="single" w:sz="8" w:color="ACACAC"/>
            </w:tcBorders>
            <w:gridSpan w:val="2"/>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Restructuring and related charges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9,371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8,508</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6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40" w:type="dxa"/>
            <w:vAlign w:val="bottom"/>
            <w:tcBorders>
              <w:top w:val="single" w:sz="8" w:color="ACACAC"/>
              <w:bottom w:val="single" w:sz="8" w:color="ACACAC"/>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Gain on disposition of operations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005BA5"/>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005BA5"/>
            </w:tcBorders>
          </w:tcPr>
          <w:p>
            <w:pPr>
              <w:spacing w:after="0"/>
              <w:rPr>
                <w:sz w:val="22"/>
                <w:szCs w:val="22"/>
                <w:color w:val="auto"/>
              </w:rPr>
            </w:pPr>
          </w:p>
        </w:tc>
        <w:tc>
          <w:tcPr>
            <w:tcW w:w="1060" w:type="dxa"/>
            <w:vAlign w:val="bottom"/>
            <w:tcBorders>
              <w:top w:val="single" w:sz="8" w:color="ACACAC"/>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005BA5"/>
            </w:tcBorders>
          </w:tcPr>
          <w:p>
            <w:pPr>
              <w:spacing w:after="0"/>
              <w:rPr>
                <w:sz w:val="22"/>
                <w:szCs w:val="22"/>
                <w:color w:val="auto"/>
              </w:rPr>
            </w:pPr>
          </w:p>
        </w:tc>
        <w:tc>
          <w:tcPr>
            <w:tcW w:w="1040" w:type="dxa"/>
            <w:vAlign w:val="bottom"/>
            <w:tcBorders>
              <w:top w:val="single" w:sz="8" w:color="ACACAC"/>
              <w:bottom w:val="single" w:sz="8" w:color="005BA5"/>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Income from operations before income tax expense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1,620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1,263</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6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40" w:type="dxa"/>
            <w:vAlign w:val="bottom"/>
            <w:tcBorders>
              <w:top w:val="single" w:sz="8" w:color="ACACAC"/>
              <w:bottom w:val="single" w:sz="8" w:color="ACACAC"/>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005BA5"/>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005BA5"/>
            </w:tcBorders>
          </w:tcPr>
          <w:p>
            <w:pPr>
              <w:spacing w:after="0"/>
              <w:rPr>
                <w:sz w:val="22"/>
                <w:szCs w:val="22"/>
                <w:color w:val="auto"/>
              </w:rPr>
            </w:pPr>
          </w:p>
        </w:tc>
        <w:tc>
          <w:tcPr>
            <w:tcW w:w="1060" w:type="dxa"/>
            <w:vAlign w:val="bottom"/>
            <w:tcBorders>
              <w:top w:val="single" w:sz="8" w:color="ACACAC"/>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005BA5"/>
            </w:tcBorders>
          </w:tcPr>
          <w:p>
            <w:pPr>
              <w:spacing w:after="0"/>
              <w:rPr>
                <w:sz w:val="22"/>
                <w:szCs w:val="22"/>
                <w:color w:val="auto"/>
              </w:rPr>
            </w:pPr>
          </w:p>
        </w:tc>
        <w:tc>
          <w:tcPr>
            <w:tcW w:w="1040" w:type="dxa"/>
            <w:vAlign w:val="bottom"/>
            <w:tcBorders>
              <w:top w:val="single" w:sz="8" w:color="ACACAC"/>
              <w:bottom w:val="single" w:sz="8" w:color="005BA5"/>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1,006</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6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40" w:type="dxa"/>
            <w:vAlign w:val="bottom"/>
            <w:tcBorders>
              <w:top w:val="single" w:sz="8" w:color="ACACAC"/>
              <w:bottom w:val="single" w:sz="8" w:color="ACACAC"/>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Preferred stock dividends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005BA5"/>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005BA5"/>
            </w:tcBorders>
          </w:tcPr>
          <w:p>
            <w:pPr>
              <w:spacing w:after="0"/>
              <w:rPr>
                <w:sz w:val="22"/>
                <w:szCs w:val="22"/>
                <w:color w:val="auto"/>
              </w:rPr>
            </w:pPr>
          </w:p>
        </w:tc>
        <w:tc>
          <w:tcPr>
            <w:tcW w:w="1060" w:type="dxa"/>
            <w:vAlign w:val="bottom"/>
            <w:tcBorders>
              <w:top w:val="single" w:sz="8" w:color="ACACAC"/>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005BA5"/>
            </w:tcBorders>
          </w:tcPr>
          <w:p>
            <w:pPr>
              <w:spacing w:after="0"/>
              <w:rPr>
                <w:sz w:val="22"/>
                <w:szCs w:val="22"/>
                <w:color w:val="auto"/>
              </w:rPr>
            </w:pPr>
          </w:p>
        </w:tc>
        <w:tc>
          <w:tcPr>
            <w:tcW w:w="1040" w:type="dxa"/>
            <w:vAlign w:val="bottom"/>
            <w:tcBorders>
              <w:top w:val="single" w:sz="8" w:color="ACACAC"/>
              <w:bottom w:val="single" w:sz="8" w:color="005BA5"/>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1,261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977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6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40" w:type="dxa"/>
            <w:vAlign w:val="bottom"/>
            <w:tcBorders>
              <w:top w:val="single" w:sz="8" w:color="ACACAC"/>
              <w:bottom w:val="single" w:sz="8" w:color="ACACAC"/>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 per common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income applicable to common shareholders per common share - 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 Basic</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354.1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29"/>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income applicable to common shareholders per common share -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2.71</w:t>
            </w:r>
          </w:p>
        </w:tc>
      </w:tr>
      <w:tr>
        <w:trPr>
          <w:trHeight w:val="22"/>
        </w:trPr>
        <w:tc>
          <w:tcPr>
            <w:tcW w:w="8460" w:type="dxa"/>
            <w:vAlign w:val="bottom"/>
            <w:tcBorders>
              <w:bottom w:val="single" w:sz="8" w:color="005BA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005BA5"/>
            </w:tcBorders>
          </w:tcPr>
          <w:p>
            <w:pPr>
              <w:spacing w:after="0" w:line="20" w:lineRule="exact"/>
              <w:rPr>
                <w:sz w:val="1"/>
                <w:szCs w:val="1"/>
                <w:color w:val="auto"/>
              </w:rPr>
            </w:pPr>
          </w:p>
        </w:tc>
        <w:tc>
          <w:tcPr>
            <w:tcW w:w="1060" w:type="dxa"/>
            <w:vAlign w:val="bottom"/>
            <w:tcBorders>
              <w:bottom w:val="single" w:sz="8" w:color="005BA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005BA5"/>
            </w:tcBorders>
          </w:tcPr>
          <w:p>
            <w:pPr>
              <w:spacing w:after="0" w:line="20" w:lineRule="exact"/>
              <w:rPr>
                <w:sz w:val="1"/>
                <w:szCs w:val="1"/>
                <w:color w:val="auto"/>
              </w:rPr>
            </w:pPr>
          </w:p>
        </w:tc>
        <w:tc>
          <w:tcPr>
            <w:tcW w:w="1040" w:type="dxa"/>
            <w:vAlign w:val="bottom"/>
            <w:tcBorders>
              <w:bottom w:val="single" w:sz="8" w:color="005BA5"/>
            </w:tcBorders>
          </w:tcPr>
          <w:p>
            <w:pPr>
              <w:spacing w:after="0" w:line="20" w:lineRule="exact"/>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 Diluted</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359.9</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41" w:right="239" w:bottom="741" w:gutter="0" w:footer="0" w:header="0"/>
        </w:sectPr>
      </w:pPr>
    </w:p>
    <w:p>
      <w:pPr>
        <w:spacing w:after="0" w:line="241" w:lineRule="exact"/>
        <w:rPr>
          <w:sz w:val="20"/>
          <w:szCs w:val="20"/>
          <w:color w:val="auto"/>
        </w:rPr>
      </w:pPr>
    </w:p>
    <w:p>
      <w:pPr>
        <w:ind w:left="914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1</w:t>
      </w:r>
    </w:p>
    <w:p>
      <w:pPr>
        <w:sectPr>
          <w:pgSz w:w="11900" w:h="16838" w:orient="portrait"/>
          <w:cols w:equalWidth="0" w:num="1">
            <w:col w:w="11420"/>
          </w:cols>
          <w:pgMar w:left="240" w:top="141" w:right="239" w:bottom="741"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color w:val="005BA5"/>
        </w:rPr>
        <w:t>Condensed Consolidated Financial Statements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666AF"/>
        </w:rPr>
        <w:t>The Allstate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666AF"/>
        </w:rPr>
        <w:t>Condensed 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1666AF"/>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1666AF"/>
            </w:tcBorders>
          </w:tcPr>
          <w:p>
            <w:pPr>
              <w:spacing w:after="0"/>
              <w:rPr>
                <w:sz w:val="20"/>
                <w:szCs w:val="20"/>
                <w:color w:val="auto"/>
              </w:rPr>
            </w:pPr>
          </w:p>
        </w:tc>
        <w:tc>
          <w:tcPr>
            <w:tcW w:w="1060" w:type="dxa"/>
            <w:vAlign w:val="bottom"/>
            <w:tcBorders>
              <w:bottom w:val="single" w:sz="8" w:color="1666AF"/>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1666AF"/>
            </w:tcBorders>
          </w:tcPr>
          <w:p>
            <w:pPr>
              <w:spacing w:after="0"/>
              <w:rPr>
                <w:sz w:val="20"/>
                <w:szCs w:val="20"/>
                <w:color w:val="auto"/>
              </w:rPr>
            </w:pPr>
          </w:p>
        </w:tc>
        <w:tc>
          <w:tcPr>
            <w:tcW w:w="1040" w:type="dxa"/>
            <w:vAlign w:val="bottom"/>
            <w:tcBorders>
              <w:bottom w:val="single" w:sz="8" w:color="1666AF"/>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1,006</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6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40" w:type="dxa"/>
            <w:vAlign w:val="bottom"/>
            <w:tcBorders>
              <w:top w:val="single" w:sz="8" w:color="ACACAC"/>
              <w:bottom w:val="single" w:sz="8" w:color="ACACAC"/>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comprehensive income (loss), after-tax</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Changes in:</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Unrealized net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Unrealized foreign currency translation adjustments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Unamortized pension and other postretirement prior service credit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comprehensive income (loss),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967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(581)</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005BA5"/>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005BA5"/>
            </w:tcBorders>
          </w:tcPr>
          <w:p>
            <w:pPr>
              <w:spacing w:after="0"/>
              <w:rPr>
                <w:sz w:val="22"/>
                <w:szCs w:val="22"/>
                <w:color w:val="auto"/>
              </w:rPr>
            </w:pPr>
          </w:p>
        </w:tc>
        <w:tc>
          <w:tcPr>
            <w:tcW w:w="1060" w:type="dxa"/>
            <w:vAlign w:val="bottom"/>
            <w:tcBorders>
              <w:top w:val="single" w:sz="8" w:color="ACACAC"/>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005BA5"/>
            </w:tcBorders>
          </w:tcPr>
          <w:p>
            <w:pPr>
              <w:spacing w:after="0"/>
              <w:rPr>
                <w:sz w:val="22"/>
                <w:szCs w:val="22"/>
                <w:color w:val="auto"/>
              </w:rPr>
            </w:pPr>
          </w:p>
        </w:tc>
        <w:tc>
          <w:tcPr>
            <w:tcW w:w="1040" w:type="dxa"/>
            <w:vAlign w:val="bottom"/>
            <w:tcBorders>
              <w:top w:val="single" w:sz="8" w:color="ACACAC"/>
              <w:bottom w:val="single" w:sz="8" w:color="005BA5"/>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2,259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425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41" w:right="23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2 </w:t>
      </w: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4" w:name="page5"/>
    <w:bookmarkEnd w:id="4"/>
    <w:p>
      <w:pPr>
        <w:ind w:left="8040"/>
        <w:spacing w:after="0"/>
        <w:rPr>
          <w:sz w:val="20"/>
          <w:szCs w:val="20"/>
          <w:color w:val="auto"/>
        </w:rPr>
      </w:pPr>
      <w:r>
        <w:rPr>
          <w:rFonts w:ascii="Arial" w:cs="Arial" w:eastAsia="Arial" w:hAnsi="Arial"/>
          <w:sz w:val="16"/>
          <w:szCs w:val="16"/>
          <w:color w:val="005BA5"/>
        </w:rPr>
        <w:t>Condensed Consolidated Financial Statements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666AF"/>
        </w:rPr>
        <w:t>The Allstate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666AF"/>
        </w:rPr>
        <w:t>Condensed Consolidated Statements of Financial Position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24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 except par value data)</w:t>
            </w:r>
          </w:p>
        </w:tc>
        <w:tc>
          <w:tcPr>
            <w:tcW w:w="120" w:type="dxa"/>
            <w:vAlign w:val="bottom"/>
          </w:tcPr>
          <w:p>
            <w:pPr>
              <w:spacing w:after="0"/>
              <w:rPr>
                <w:sz w:val="20"/>
                <w:szCs w:val="20"/>
                <w:color w:val="auto"/>
              </w:rPr>
            </w:pPr>
          </w:p>
        </w:tc>
        <w:tc>
          <w:tcPr>
            <w:tcW w:w="160" w:type="dxa"/>
            <w:vAlign w:val="bottom"/>
            <w:tcBorders>
              <w:bottom w:val="single" w:sz="8" w:color="005BA5"/>
            </w:tcBorders>
          </w:tcPr>
          <w:p>
            <w:pPr>
              <w:spacing w:after="0"/>
              <w:rPr>
                <w:sz w:val="20"/>
                <w:szCs w:val="20"/>
                <w:color w:val="auto"/>
              </w:rPr>
            </w:pPr>
          </w:p>
        </w:tc>
        <w:tc>
          <w:tcPr>
            <w:tcW w:w="1440" w:type="dxa"/>
            <w:vAlign w:val="bottom"/>
            <w:tcBorders>
              <w:bottom w:val="single" w:sz="8" w:color="005BA5"/>
            </w:tcBorders>
            <w:gridSpan w:val="2"/>
          </w:tcPr>
          <w:p>
            <w:pPr>
              <w:ind w:left="40"/>
              <w:spacing w:after="0"/>
              <w:rPr>
                <w:sz w:val="20"/>
                <w:szCs w:val="20"/>
                <w:color w:val="auto"/>
              </w:rPr>
            </w:pPr>
            <w:r>
              <w:rPr>
                <w:rFonts w:ascii="Arial" w:cs="Arial" w:eastAsia="Arial" w:hAnsi="Arial"/>
                <w:sz w:val="16"/>
                <w:szCs w:val="16"/>
                <w:b w:val="1"/>
                <w:bCs w:val="1"/>
                <w:color w:val="auto"/>
              </w:rPr>
              <w:t>March 31, 2019</w:t>
            </w:r>
          </w:p>
        </w:tc>
        <w:tc>
          <w:tcPr>
            <w:tcW w:w="1460" w:type="dxa"/>
            <w:vAlign w:val="bottom"/>
            <w:tcBorders>
              <w:bottom w:val="single" w:sz="8" w:color="005BA5"/>
            </w:tcBorders>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r>
      <w:tr>
        <w:trPr>
          <w:trHeight w:val="223"/>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7"/>
        </w:trPr>
        <w:tc>
          <w:tcPr>
            <w:tcW w:w="824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CACAC"/>
            </w:tcBorders>
          </w:tcPr>
          <w:p>
            <w:pPr>
              <w:spacing w:after="0"/>
              <w:rPr>
                <w:sz w:val="4"/>
                <w:szCs w:val="4"/>
                <w:color w:val="auto"/>
              </w:rPr>
            </w:pPr>
          </w:p>
        </w:tc>
        <w:tc>
          <w:tcPr>
            <w:tcW w:w="1340" w:type="dxa"/>
            <w:vAlign w:val="bottom"/>
            <w:tcBorders>
              <w:bottom w:val="single" w:sz="8" w:color="ACACAC"/>
            </w:tcBorders>
          </w:tcPr>
          <w:p>
            <w:pPr>
              <w:spacing w:after="0"/>
              <w:rPr>
                <w:sz w:val="4"/>
                <w:szCs w:val="4"/>
                <w:color w:val="auto"/>
              </w:rPr>
            </w:pPr>
          </w:p>
        </w:tc>
        <w:tc>
          <w:tcPr>
            <w:tcW w:w="100" w:type="dxa"/>
            <w:vAlign w:val="bottom"/>
            <w:tcBorders>
              <w:bottom w:val="single" w:sz="8" w:color="ACACAC"/>
            </w:tcBorders>
          </w:tcPr>
          <w:p>
            <w:pPr>
              <w:spacing w:after="0"/>
              <w:rPr>
                <w:sz w:val="4"/>
                <w:szCs w:val="4"/>
                <w:color w:val="auto"/>
              </w:rPr>
            </w:pPr>
          </w:p>
        </w:tc>
        <w:tc>
          <w:tcPr>
            <w:tcW w:w="480" w:type="dxa"/>
            <w:vAlign w:val="bottom"/>
            <w:tcBorders>
              <w:bottom w:val="single" w:sz="8" w:color="ACACAC"/>
            </w:tcBorders>
          </w:tcPr>
          <w:p>
            <w:pPr>
              <w:spacing w:after="0"/>
              <w:rPr>
                <w:sz w:val="4"/>
                <w:szCs w:val="4"/>
                <w:color w:val="auto"/>
              </w:rPr>
            </w:pPr>
          </w:p>
        </w:tc>
        <w:tc>
          <w:tcPr>
            <w:tcW w:w="980" w:type="dxa"/>
            <w:vAlign w:val="bottom"/>
            <w:tcBorders>
              <w:bottom w:val="single" w:sz="8" w:color="ACACAC"/>
            </w:tcBorders>
          </w:tcPr>
          <w:p>
            <w:pPr>
              <w:spacing w:after="0"/>
              <w:rPr>
                <w:sz w:val="4"/>
                <w:szCs w:val="4"/>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Investments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Fixed income securities, at fair value (amortized cost $56,831 and $57,134)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58,202</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57,170</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Equity securities, at fair value (cost $4,767 and $4,489)</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5,802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5,036</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Mortgage loans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4,681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4,670</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Limited partnership interests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7,493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7,505</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Short-term, at fair value (amortized cost $4,157 and $3,027)</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3,027</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3,786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3,852</w:t>
            </w:r>
          </w:p>
        </w:tc>
      </w:tr>
      <w:tr>
        <w:trPr>
          <w:trHeight w:val="33"/>
        </w:trPr>
        <w:tc>
          <w:tcPr>
            <w:tcW w:w="8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217"/>
        </w:trPr>
        <w:tc>
          <w:tcPr>
            <w:tcW w:w="836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investments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84,121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81,260</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499</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Premium installment receivables, net</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6,201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6,154</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Deferred policy acquisition costs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4,670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4,784</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Reinsurance and indemnification recoverables, net</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9,374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9,565</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Accrued investment income</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Property and equipment, net</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1,045</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2,547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2,530</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3,659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3,007</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Separate Accounts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2,805</w:t>
            </w:r>
          </w:p>
        </w:tc>
      </w:tr>
      <w:tr>
        <w:trPr>
          <w:trHeight w:val="33"/>
        </w:trPr>
        <w:tc>
          <w:tcPr>
            <w:tcW w:w="8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217"/>
        </w:trPr>
        <w:tc>
          <w:tcPr>
            <w:tcW w:w="8360" w:type="dxa"/>
            <w:vAlign w:val="bottom"/>
            <w:gridSpan w:val="2"/>
          </w:tcPr>
          <w:p>
            <w:pPr>
              <w:ind w:left="60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115,834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112,249</w:t>
            </w:r>
          </w:p>
        </w:tc>
      </w:tr>
      <w:tr>
        <w:trPr>
          <w:trHeight w:val="33"/>
        </w:trPr>
        <w:tc>
          <w:tcPr>
            <w:tcW w:w="8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Reserve for property and casualty insurance claims and claims expense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27,544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27,423</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Reserve for life-contingent contract benefits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12,200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12,208</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Contractholder funds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18,161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18,371</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Unearned premiums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14,323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14,510</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Claim payments outstanding</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1,007</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425</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Other liabilities and accrued expenses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8,977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7,737</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6,453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6,451</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Separate Accounts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3,050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2,805</w:t>
            </w:r>
          </w:p>
        </w:tc>
      </w:tr>
      <w:tr>
        <w:trPr>
          <w:trHeight w:val="33"/>
        </w:trPr>
        <w:tc>
          <w:tcPr>
            <w:tcW w:w="8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217"/>
        </w:trPr>
        <w:tc>
          <w:tcPr>
            <w:tcW w:w="8360" w:type="dxa"/>
            <w:vAlign w:val="bottom"/>
            <w:gridSpan w:val="2"/>
          </w:tcPr>
          <w:p>
            <w:pPr>
              <w:ind w:left="600"/>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92,416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90,937</w:t>
            </w:r>
          </w:p>
        </w:tc>
      </w:tr>
      <w:tr>
        <w:trPr>
          <w:trHeight w:val="33"/>
        </w:trPr>
        <w:tc>
          <w:tcPr>
            <w:tcW w:w="8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Commitments and Contingent Liabilities (Note 11)</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3"/>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Preferred stock and additional capital paid-in, $1 par value, 25 million shares authorized, 79.8 thousand issued and</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6"/>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outstanding, $1,995 aggregate liquidation preference</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1,930</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3"/>
        </w:trPr>
        <w:tc>
          <w:tcPr>
            <w:tcW w:w="8360" w:type="dxa"/>
            <w:vAlign w:val="bottom"/>
            <w:gridSpan w:val="2"/>
          </w:tcPr>
          <w:p>
            <w:pPr>
              <w:ind w:left="40"/>
              <w:spacing w:after="0"/>
              <w:rPr>
                <w:sz w:val="20"/>
                <w:szCs w:val="20"/>
                <w:color w:val="auto"/>
              </w:rPr>
            </w:pPr>
            <w:r>
              <w:rPr>
                <w:rFonts w:ascii="Arial" w:cs="Arial" w:eastAsia="Arial" w:hAnsi="Arial"/>
                <w:sz w:val="16"/>
                <w:szCs w:val="16"/>
                <w:color w:val="auto"/>
                <w:w w:val="99"/>
              </w:rPr>
              <w:t>Common stock, $.01 par value, 2.0 billion shares authorized and 900 million issued, 333 million and 332 million shares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6"/>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outstanding</w:t>
            </w:r>
          </w:p>
        </w:tc>
        <w:tc>
          <w:tcPr>
            <w:tcW w:w="160" w:type="dxa"/>
            <w:vAlign w:val="bottom"/>
          </w:tcPr>
          <w:p>
            <w:pPr>
              <w:spacing w:after="0"/>
              <w:rPr>
                <w:sz w:val="17"/>
                <w:szCs w:val="17"/>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Additional capital paid-in</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3,291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3,310</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Retained income</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45,148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44,033</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Deferred Employee Stock Ownership Plan (“ESOP”) expense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Treasury stock, at cost (567 million and 568 million shares)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(28,042)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(28,085)</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Accumulated other comprehensive income:</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Unrealized net capital gains and losses: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380"/>
              <w:spacing w:after="0"/>
              <w:rPr>
                <w:sz w:val="20"/>
                <w:szCs w:val="20"/>
                <w:color w:val="auto"/>
              </w:rPr>
            </w:pPr>
            <w:r>
              <w:rPr>
                <w:rFonts w:ascii="Arial" w:cs="Arial" w:eastAsia="Arial" w:hAnsi="Arial"/>
                <w:sz w:val="16"/>
                <w:szCs w:val="16"/>
                <w:color w:val="auto"/>
              </w:rPr>
              <w:t>Unrealized net capital gains and losses on fixed income securities with OTTI</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380"/>
              <w:spacing w:after="0"/>
              <w:rPr>
                <w:sz w:val="20"/>
                <w:szCs w:val="20"/>
                <w:color w:val="auto"/>
              </w:rPr>
            </w:pPr>
            <w:r>
              <w:rPr>
                <w:rFonts w:ascii="Arial" w:cs="Arial" w:eastAsia="Arial" w:hAnsi="Arial"/>
                <w:sz w:val="16"/>
                <w:szCs w:val="16"/>
                <w:color w:val="auto"/>
              </w:rPr>
              <w:t>Other unrealized net capital gains and losses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380"/>
              <w:spacing w:after="0"/>
              <w:rPr>
                <w:sz w:val="20"/>
                <w:szCs w:val="20"/>
                <w:color w:val="auto"/>
              </w:rPr>
            </w:pPr>
            <w:r>
              <w:rPr>
                <w:rFonts w:ascii="Arial" w:cs="Arial" w:eastAsia="Arial" w:hAnsi="Arial"/>
                <w:sz w:val="16"/>
                <w:szCs w:val="16"/>
                <w:color w:val="auto"/>
              </w:rPr>
              <w:t>Unrealized adjustment to DAC, DSI and insurance reserves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8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217"/>
        </w:trPr>
        <w:tc>
          <w:tcPr>
            <w:tcW w:w="8360" w:type="dxa"/>
            <w:vAlign w:val="bottom"/>
            <w:gridSpan w:val="2"/>
          </w:tcPr>
          <w:p>
            <w:pPr>
              <w:ind w:left="600"/>
              <w:spacing w:after="0"/>
              <w:rPr>
                <w:sz w:val="20"/>
                <w:szCs w:val="20"/>
                <w:color w:val="auto"/>
              </w:rPr>
            </w:pPr>
            <w:r>
              <w:rPr>
                <w:rFonts w:ascii="Arial" w:cs="Arial" w:eastAsia="Arial" w:hAnsi="Arial"/>
                <w:sz w:val="16"/>
                <w:szCs w:val="16"/>
                <w:b w:val="1"/>
                <w:bCs w:val="1"/>
                <w:color w:val="auto"/>
              </w:rPr>
              <w:t>Total unrealized net capital gains and losses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972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Unrealized foreign currency translation adjustments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8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Unamortized pension and other postretirement prior service credit</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33"/>
        </w:trPr>
        <w:tc>
          <w:tcPr>
            <w:tcW w:w="8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217"/>
        </w:trPr>
        <w:tc>
          <w:tcPr>
            <w:tcW w:w="8360" w:type="dxa"/>
            <w:vAlign w:val="bottom"/>
            <w:gridSpan w:val="2"/>
          </w:tcPr>
          <w:p>
            <w:pPr>
              <w:ind w:left="600"/>
              <w:spacing w:after="0"/>
              <w:rPr>
                <w:sz w:val="20"/>
                <w:szCs w:val="20"/>
                <w:color w:val="auto"/>
              </w:rPr>
            </w:pPr>
            <w:r>
              <w:rPr>
                <w:rFonts w:ascii="Arial" w:cs="Arial" w:eastAsia="Arial" w:hAnsi="Arial"/>
                <w:sz w:val="16"/>
                <w:szCs w:val="16"/>
                <w:b w:val="1"/>
                <w:bCs w:val="1"/>
                <w:color w:val="auto"/>
              </w:rPr>
              <w:t>Total accumulated other comprehensive income (“AOCI”)</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1,085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118</w:t>
            </w:r>
          </w:p>
        </w:tc>
      </w:tr>
      <w:tr>
        <w:trPr>
          <w:trHeight w:val="33"/>
        </w:trPr>
        <w:tc>
          <w:tcPr>
            <w:tcW w:w="8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217"/>
        </w:trPr>
        <w:tc>
          <w:tcPr>
            <w:tcW w:w="8360" w:type="dxa"/>
            <w:vAlign w:val="bottom"/>
            <w:gridSpan w:val="2"/>
          </w:tcPr>
          <w:p>
            <w:pPr>
              <w:ind w:left="600"/>
              <w:spacing w:after="0"/>
              <w:rPr>
                <w:sz w:val="20"/>
                <w:szCs w:val="20"/>
                <w:color w:val="auto"/>
              </w:rPr>
            </w:pPr>
            <w:r>
              <w:rPr>
                <w:rFonts w:ascii="Arial" w:cs="Arial" w:eastAsia="Arial" w:hAnsi="Arial"/>
                <w:sz w:val="16"/>
                <w:szCs w:val="16"/>
                <w:b w:val="1"/>
                <w:bCs w:val="1"/>
                <w:color w:val="auto"/>
              </w:rPr>
              <w:t>Total shareholders’ equity</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23,418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21,312</w:t>
            </w:r>
          </w:p>
        </w:tc>
      </w:tr>
      <w:tr>
        <w:trPr>
          <w:trHeight w:val="33"/>
        </w:trPr>
        <w:tc>
          <w:tcPr>
            <w:tcW w:w="8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217"/>
        </w:trPr>
        <w:tc>
          <w:tcPr>
            <w:tcW w:w="8360" w:type="dxa"/>
            <w:vAlign w:val="bottom"/>
            <w:gridSpan w:val="2"/>
          </w:tcPr>
          <w:p>
            <w:pPr>
              <w:ind w:left="600"/>
              <w:spacing w:after="0"/>
              <w:rPr>
                <w:sz w:val="20"/>
                <w:szCs w:val="20"/>
                <w:color w:val="auto"/>
              </w:rPr>
            </w:pPr>
            <w:r>
              <w:rPr>
                <w:rFonts w:ascii="Arial" w:cs="Arial" w:eastAsia="Arial" w:hAnsi="Arial"/>
                <w:sz w:val="16"/>
                <w:szCs w:val="16"/>
                <w:b w:val="1"/>
                <w:bCs w:val="1"/>
                <w:color w:val="auto"/>
              </w:rPr>
              <w:t>Total liabilities and shareholders’ equity</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115,834</w:t>
            </w:r>
          </w:p>
        </w:tc>
        <w:tc>
          <w:tcPr>
            <w:tcW w:w="10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112,249</w:t>
            </w:r>
          </w:p>
        </w:tc>
      </w:tr>
      <w:tr>
        <w:trPr>
          <w:trHeight w:val="33"/>
        </w:trPr>
        <w:tc>
          <w:tcPr>
            <w:tcW w:w="8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bl>
    <w:p>
      <w:pPr>
        <w:spacing w:after="0" w:line="275"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41" w:right="239" w:bottom="187" w:gutter="0" w:footer="0" w:header="0"/>
        </w:sectPr>
      </w:pPr>
    </w:p>
    <w:p>
      <w:pPr>
        <w:spacing w:after="0" w:line="241" w:lineRule="exact"/>
        <w:rPr>
          <w:sz w:val="20"/>
          <w:szCs w:val="20"/>
          <w:color w:val="auto"/>
        </w:rPr>
      </w:pPr>
    </w:p>
    <w:p>
      <w:pPr>
        <w:ind w:left="914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3</w:t>
      </w:r>
    </w:p>
    <w:p>
      <w:pPr>
        <w:sectPr>
          <w:pgSz w:w="11900" w:h="16838" w:orient="portrait"/>
          <w:cols w:equalWidth="0" w:num="1">
            <w:col w:w="11420"/>
          </w:cols>
          <w:pgMar w:left="240" w:top="141" w:right="239" w:bottom="187"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color w:val="005BA5"/>
        </w:rPr>
        <w:t>Condensed Consolidated Financial Statements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666AF"/>
        </w:rPr>
        <w:t>The Allstate Corporate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666AF"/>
        </w:rPr>
        <w:t>Condensed 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ind w:left="9160"/>
        <w:spacing w:after="0"/>
        <w:rPr>
          <w:sz w:val="20"/>
          <w:szCs w:val="20"/>
          <w:color w:val="auto"/>
        </w:rPr>
      </w:pPr>
      <w:r>
        <w:rPr>
          <w:rFonts w:ascii="Arial" w:cs="Arial" w:eastAsia="Arial" w:hAnsi="Arial"/>
          <w:sz w:val="15"/>
          <w:szCs w:val="15"/>
          <w:b w:val="1"/>
          <w:bCs w:val="1"/>
          <w:color w:val="auto"/>
        </w:rPr>
        <w:t>Three months ended March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20" w:type="dxa"/>
            <w:vAlign w:val="bottom"/>
            <w:tcBorders>
              <w:bottom w:val="single" w:sz="8" w:color="1666AF"/>
            </w:tcBorders>
          </w:tcPr>
          <w:p>
            <w:pPr>
              <w:ind w:left="40"/>
              <w:spacing w:after="0"/>
              <w:rPr>
                <w:sz w:val="20"/>
                <w:szCs w:val="20"/>
                <w:color w:val="auto"/>
              </w:rPr>
            </w:pPr>
            <w:r>
              <w:rPr>
                <w:rFonts w:ascii="Arial" w:cs="Arial" w:eastAsia="Arial" w:hAnsi="Arial"/>
                <w:sz w:val="14"/>
                <w:szCs w:val="14"/>
                <w:b w:val="1"/>
                <w:bCs w:val="1"/>
                <w:color w:val="auto"/>
              </w:rPr>
              <w:t>($ in millions, except per share data)</w:t>
            </w:r>
          </w:p>
        </w:tc>
        <w:tc>
          <w:tcPr>
            <w:tcW w:w="120" w:type="dxa"/>
            <w:vAlign w:val="bottom"/>
          </w:tcPr>
          <w:p>
            <w:pPr>
              <w:spacing w:after="0"/>
              <w:rPr>
                <w:sz w:val="20"/>
                <w:szCs w:val="20"/>
                <w:color w:val="auto"/>
              </w:rPr>
            </w:pPr>
          </w:p>
        </w:tc>
        <w:tc>
          <w:tcPr>
            <w:tcW w:w="260" w:type="dxa"/>
            <w:vAlign w:val="bottom"/>
            <w:tcBorders>
              <w:bottom w:val="single" w:sz="8" w:color="1666AF"/>
            </w:tcBorders>
          </w:tcPr>
          <w:p>
            <w:pPr>
              <w:spacing w:after="0"/>
              <w:rPr>
                <w:sz w:val="20"/>
                <w:szCs w:val="20"/>
                <w:color w:val="auto"/>
              </w:rPr>
            </w:pPr>
          </w:p>
        </w:tc>
        <w:tc>
          <w:tcPr>
            <w:tcW w:w="900" w:type="dxa"/>
            <w:vAlign w:val="bottom"/>
            <w:tcBorders>
              <w:bottom w:val="single" w:sz="8" w:color="1666AF"/>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260" w:type="dxa"/>
            <w:vAlign w:val="bottom"/>
            <w:tcBorders>
              <w:bottom w:val="single" w:sz="8" w:color="1666AF"/>
            </w:tcBorders>
          </w:tcPr>
          <w:p>
            <w:pPr>
              <w:spacing w:after="0"/>
              <w:rPr>
                <w:sz w:val="20"/>
                <w:szCs w:val="20"/>
                <w:color w:val="auto"/>
              </w:rPr>
            </w:pPr>
          </w:p>
        </w:tc>
        <w:tc>
          <w:tcPr>
            <w:tcW w:w="860" w:type="dxa"/>
            <w:vAlign w:val="bottom"/>
            <w:tcBorders>
              <w:bottom w:val="single" w:sz="8" w:color="1666AF"/>
            </w:tcBorders>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223"/>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Preferred stock par value</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Preferred stock additional capital paid-in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Balance, beginning of period</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1,746</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Preferred stock issuance</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557</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1,930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2,303</w:t>
            </w:r>
          </w:p>
        </w:tc>
      </w:tr>
      <w:tr>
        <w:trPr>
          <w:trHeight w:val="33"/>
        </w:trPr>
        <w:tc>
          <w:tcPr>
            <w:tcW w:w="9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8920" w:type="dxa"/>
            <w:vAlign w:val="bottom"/>
            <w:tcBorders>
              <w:top w:val="single" w:sz="8" w:color="005BA5"/>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005BA5"/>
              <w:bottom w:val="single" w:sz="8" w:color="ACACAC"/>
            </w:tcBorders>
          </w:tcPr>
          <w:p>
            <w:pPr>
              <w:spacing w:after="0"/>
              <w:rPr>
                <w:sz w:val="22"/>
                <w:szCs w:val="22"/>
                <w:color w:val="auto"/>
              </w:rPr>
            </w:pPr>
          </w:p>
        </w:tc>
        <w:tc>
          <w:tcPr>
            <w:tcW w:w="900" w:type="dxa"/>
            <w:vAlign w:val="bottom"/>
            <w:tcBorders>
              <w:top w:val="single" w:sz="8" w:color="005BA5"/>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005BA5"/>
              <w:bottom w:val="single" w:sz="8" w:color="ACACAC"/>
            </w:tcBorders>
          </w:tcPr>
          <w:p>
            <w:pPr>
              <w:spacing w:after="0"/>
              <w:rPr>
                <w:sz w:val="22"/>
                <w:szCs w:val="22"/>
                <w:color w:val="auto"/>
              </w:rPr>
            </w:pPr>
          </w:p>
        </w:tc>
        <w:tc>
          <w:tcPr>
            <w:tcW w:w="860" w:type="dxa"/>
            <w:vAlign w:val="bottom"/>
            <w:tcBorders>
              <w:top w:val="single" w:sz="8" w:color="005BA5"/>
              <w:bottom w:val="single" w:sz="8" w:color="ACACAC"/>
            </w:tcBorders>
          </w:tcPr>
          <w:p>
            <w:pPr>
              <w:spacing w:after="0"/>
              <w:rPr>
                <w:sz w:val="22"/>
                <w:szCs w:val="2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 par value</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9</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 additional capital paid-in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Balance, beginning of period</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3,313</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Forward contract on accelerated share repurchase agreement</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Activity under equity incentive plans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3,291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3,367</w:t>
            </w:r>
          </w:p>
        </w:tc>
      </w:tr>
      <w:tr>
        <w:trPr>
          <w:trHeight w:val="33"/>
        </w:trPr>
        <w:tc>
          <w:tcPr>
            <w:tcW w:w="9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8920" w:type="dxa"/>
            <w:vAlign w:val="bottom"/>
            <w:tcBorders>
              <w:top w:val="single" w:sz="8" w:color="005BA5"/>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005BA5"/>
              <w:bottom w:val="single" w:sz="8" w:color="ACACAC"/>
            </w:tcBorders>
          </w:tcPr>
          <w:p>
            <w:pPr>
              <w:spacing w:after="0"/>
              <w:rPr>
                <w:sz w:val="22"/>
                <w:szCs w:val="22"/>
                <w:color w:val="auto"/>
              </w:rPr>
            </w:pPr>
          </w:p>
        </w:tc>
        <w:tc>
          <w:tcPr>
            <w:tcW w:w="900" w:type="dxa"/>
            <w:vAlign w:val="bottom"/>
            <w:tcBorders>
              <w:top w:val="single" w:sz="8" w:color="005BA5"/>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005BA5"/>
              <w:bottom w:val="single" w:sz="8" w:color="ACACAC"/>
            </w:tcBorders>
          </w:tcPr>
          <w:p>
            <w:pPr>
              <w:spacing w:after="0"/>
              <w:rPr>
                <w:sz w:val="22"/>
                <w:szCs w:val="22"/>
                <w:color w:val="auto"/>
              </w:rPr>
            </w:pPr>
          </w:p>
        </w:tc>
        <w:tc>
          <w:tcPr>
            <w:tcW w:w="860" w:type="dxa"/>
            <w:vAlign w:val="bottom"/>
            <w:tcBorders>
              <w:top w:val="single" w:sz="8" w:color="005BA5"/>
              <w:bottom w:val="single" w:sz="8" w:color="ACACAC"/>
            </w:tcBorders>
          </w:tcPr>
          <w:p>
            <w:pPr>
              <w:spacing w:after="0"/>
              <w:rPr>
                <w:sz w:val="22"/>
                <w:szCs w:val="2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Balance, beginning of period</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44,033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41,579</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Cumulative effect of change in accounting principle</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1,088</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1,006</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Dividends on common stock (declared per share of $0.50 and $0.46)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Dividends on preferred stock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45,148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43,479</w:t>
            </w:r>
          </w:p>
        </w:tc>
      </w:tr>
      <w:tr>
        <w:trPr>
          <w:trHeight w:val="33"/>
        </w:trPr>
        <w:tc>
          <w:tcPr>
            <w:tcW w:w="9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8920" w:type="dxa"/>
            <w:vAlign w:val="bottom"/>
            <w:tcBorders>
              <w:top w:val="single" w:sz="8" w:color="005BA5"/>
              <w:bottom w:val="single" w:sz="8" w:color="005BA5"/>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005BA5"/>
              <w:bottom w:val="single" w:sz="8" w:color="005BA5"/>
            </w:tcBorders>
          </w:tcPr>
          <w:p>
            <w:pPr>
              <w:spacing w:after="0"/>
              <w:rPr>
                <w:sz w:val="22"/>
                <w:szCs w:val="22"/>
                <w:color w:val="auto"/>
              </w:rPr>
            </w:pPr>
          </w:p>
        </w:tc>
        <w:tc>
          <w:tcPr>
            <w:tcW w:w="900" w:type="dxa"/>
            <w:vAlign w:val="bottom"/>
            <w:tcBorders>
              <w:top w:val="single" w:sz="8" w:color="005BA5"/>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005BA5"/>
              <w:bottom w:val="single" w:sz="8" w:color="005BA5"/>
            </w:tcBorders>
          </w:tcPr>
          <w:p>
            <w:pPr>
              <w:spacing w:after="0"/>
              <w:rPr>
                <w:sz w:val="22"/>
                <w:szCs w:val="22"/>
                <w:color w:val="auto"/>
              </w:rPr>
            </w:pPr>
          </w:p>
        </w:tc>
        <w:tc>
          <w:tcPr>
            <w:tcW w:w="860" w:type="dxa"/>
            <w:vAlign w:val="bottom"/>
            <w:tcBorders>
              <w:top w:val="single" w:sz="8" w:color="005BA5"/>
              <w:bottom w:val="single" w:sz="8" w:color="005BA5"/>
            </w:tcBorders>
          </w:tcPr>
          <w:p>
            <w:pPr>
              <w:spacing w:after="0"/>
              <w:rPr>
                <w:sz w:val="22"/>
                <w:szCs w:val="2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Deferred ESOP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33"/>
        </w:trPr>
        <w:tc>
          <w:tcPr>
            <w:tcW w:w="9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8920" w:type="dxa"/>
            <w:vAlign w:val="bottom"/>
            <w:tcBorders>
              <w:top w:val="single" w:sz="8" w:color="005BA5"/>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005BA5"/>
              <w:bottom w:val="single" w:sz="8" w:color="ACACAC"/>
            </w:tcBorders>
          </w:tcPr>
          <w:p>
            <w:pPr>
              <w:spacing w:after="0"/>
              <w:rPr>
                <w:sz w:val="22"/>
                <w:szCs w:val="22"/>
                <w:color w:val="auto"/>
              </w:rPr>
            </w:pPr>
          </w:p>
        </w:tc>
        <w:tc>
          <w:tcPr>
            <w:tcW w:w="900" w:type="dxa"/>
            <w:vAlign w:val="bottom"/>
            <w:tcBorders>
              <w:top w:val="single" w:sz="8" w:color="005BA5"/>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005BA5"/>
              <w:bottom w:val="single" w:sz="8" w:color="ACACAC"/>
            </w:tcBorders>
          </w:tcPr>
          <w:p>
            <w:pPr>
              <w:spacing w:after="0"/>
              <w:rPr>
                <w:sz w:val="22"/>
                <w:szCs w:val="22"/>
                <w:color w:val="auto"/>
              </w:rPr>
            </w:pPr>
          </w:p>
        </w:tc>
        <w:tc>
          <w:tcPr>
            <w:tcW w:w="860" w:type="dxa"/>
            <w:vAlign w:val="bottom"/>
            <w:tcBorders>
              <w:top w:val="single" w:sz="8" w:color="005BA5"/>
              <w:bottom w:val="single" w:sz="8" w:color="ACACAC"/>
            </w:tcBorders>
          </w:tcPr>
          <w:p>
            <w:pPr>
              <w:spacing w:after="0"/>
              <w:rPr>
                <w:sz w:val="22"/>
                <w:szCs w:val="2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Treasury stock</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Balance, beginning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(28,085)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(25,982)</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Shares acquired</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Shares reissued under equity incentive plans, net</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(28,042)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(26,280)</w:t>
            </w:r>
          </w:p>
        </w:tc>
      </w:tr>
      <w:tr>
        <w:trPr>
          <w:trHeight w:val="33"/>
        </w:trPr>
        <w:tc>
          <w:tcPr>
            <w:tcW w:w="9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8920" w:type="dxa"/>
            <w:vAlign w:val="bottom"/>
            <w:tcBorders>
              <w:top w:val="single" w:sz="8" w:color="005BA5"/>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005BA5"/>
              <w:bottom w:val="single" w:sz="8" w:color="ACACAC"/>
            </w:tcBorders>
          </w:tcPr>
          <w:p>
            <w:pPr>
              <w:spacing w:after="0"/>
              <w:rPr>
                <w:sz w:val="22"/>
                <w:szCs w:val="22"/>
                <w:color w:val="auto"/>
              </w:rPr>
            </w:pPr>
          </w:p>
        </w:tc>
        <w:tc>
          <w:tcPr>
            <w:tcW w:w="900" w:type="dxa"/>
            <w:vAlign w:val="bottom"/>
            <w:tcBorders>
              <w:top w:val="single" w:sz="8" w:color="005BA5"/>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005BA5"/>
              <w:bottom w:val="single" w:sz="8" w:color="ACACAC"/>
            </w:tcBorders>
          </w:tcPr>
          <w:p>
            <w:pPr>
              <w:spacing w:after="0"/>
              <w:rPr>
                <w:sz w:val="22"/>
                <w:szCs w:val="22"/>
                <w:color w:val="auto"/>
              </w:rPr>
            </w:pPr>
          </w:p>
        </w:tc>
        <w:tc>
          <w:tcPr>
            <w:tcW w:w="860" w:type="dxa"/>
            <w:vAlign w:val="bottom"/>
            <w:tcBorders>
              <w:top w:val="single" w:sz="8" w:color="005BA5"/>
              <w:bottom w:val="single" w:sz="8" w:color="ACACAC"/>
            </w:tcBorders>
          </w:tcPr>
          <w:p>
            <w:pPr>
              <w:spacing w:after="0"/>
              <w:rPr>
                <w:sz w:val="22"/>
                <w:szCs w:val="2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 other comprehensive income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Balance, beginning of period</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1,889</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Cumulative effect of change in accounting principle</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Change in unrealized net capital gains and losses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Change in unrealized foreign currency translation adjustments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Change in unamortized pension and other postretirement prior service credit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31"/>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398</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23,418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23,273</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41" w:right="239" w:bottom="801"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4 </w:t>
      </w:r>
      <w:r>
        <w:rPr>
          <w:sz w:val="1"/>
          <w:szCs w:val="1"/>
          <w:color w:val="auto"/>
        </w:rPr>
        <w:drawing>
          <wp:inline distT="0" distB="0" distL="0" distR="0">
            <wp:extent cx="111760" cy="1117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801" w:gutter="0" w:footer="0" w:header="0"/>
          <w:type w:val="continuous"/>
        </w:sectPr>
      </w:pPr>
    </w:p>
    <w:bookmarkStart w:id="6" w:name="page7"/>
    <w:bookmarkEnd w:id="6"/>
    <w:p>
      <w:pPr>
        <w:ind w:left="8040"/>
        <w:spacing w:after="0"/>
        <w:rPr>
          <w:sz w:val="20"/>
          <w:szCs w:val="20"/>
          <w:color w:val="auto"/>
        </w:rPr>
      </w:pPr>
      <w:r>
        <w:rPr>
          <w:rFonts w:ascii="Arial" w:cs="Arial" w:eastAsia="Arial" w:hAnsi="Arial"/>
          <w:sz w:val="16"/>
          <w:szCs w:val="16"/>
          <w:color w:val="005BA5"/>
        </w:rPr>
        <w:t>Condensed Consolidated Financial Statements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666AF"/>
        </w:rPr>
        <w:t>The Allstate Corporation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1666AF"/>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p>
      <w:pPr>
        <w:ind w:left="9160"/>
        <w:spacing w:after="0"/>
        <w:rPr>
          <w:sz w:val="20"/>
          <w:szCs w:val="20"/>
          <w:color w:val="auto"/>
        </w:rPr>
      </w:pPr>
      <w:r>
        <w:rPr>
          <w:rFonts w:ascii="Arial" w:cs="Arial" w:eastAsia="Arial" w:hAnsi="Arial"/>
          <w:sz w:val="15"/>
          <w:szCs w:val="15"/>
          <w:b w:val="1"/>
          <w:bCs w:val="1"/>
          <w:color w:val="auto"/>
        </w:rPr>
        <w:t>Three months ended March 31,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2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900" w:type="dxa"/>
            <w:vAlign w:val="bottom"/>
            <w:tcBorders>
              <w:bottom w:val="single" w:sz="8" w:color="005BA5"/>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005BA5"/>
            </w:tcBorders>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860" w:type="dxa"/>
            <w:vAlign w:val="bottom"/>
            <w:tcBorders>
              <w:bottom w:val="single" w:sz="8" w:color="005BA5"/>
            </w:tcBorders>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23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1,006</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Depreciation, amortization and other non-cash items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Realized capital gains and losses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134</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Pension and other postretirement remeasurement gains and losses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Gain on disposition of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Interest credited to contractholder funds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161</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Changes in: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Policy benefits and other insurance reserves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Unearned premiums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Deferred policy acquisition costs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Premium installment receivables,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Reinsurance recoverables, net</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Income taxes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189</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380"/>
              <w:spacing w:after="0"/>
              <w:rPr>
                <w:sz w:val="20"/>
                <w:szCs w:val="20"/>
                <w:color w:val="auto"/>
              </w:rPr>
            </w:pPr>
            <w:r>
              <w:rPr>
                <w:rFonts w:ascii="Arial" w:cs="Arial" w:eastAsia="Arial" w:hAnsi="Arial"/>
                <w:sz w:val="16"/>
                <w:szCs w:val="16"/>
                <w:color w:val="auto"/>
              </w:rPr>
              <w:t>Other operating assets and liabilities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60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626</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Proceeds from sales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Fixed income securities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9,034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10,619</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1,138</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Limited partnership interests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Other investments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Investment collections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Fixed income securities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583</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Mortgage loans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Other investments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Investment purchases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Fixed income securities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(9,789)</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Equity securities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(1,535)</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Limited partnership interests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(415)</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Mortgage loans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180"/>
              <w:spacing w:after="0"/>
              <w:rPr>
                <w:sz w:val="20"/>
                <w:szCs w:val="20"/>
                <w:color w:val="auto"/>
              </w:rPr>
            </w:pPr>
            <w:r>
              <w:rPr>
                <w:rFonts w:ascii="Arial" w:cs="Arial" w:eastAsia="Arial" w:hAnsi="Arial"/>
                <w:sz w:val="16"/>
                <w:szCs w:val="16"/>
                <w:color w:val="auto"/>
              </w:rPr>
              <w:t>Other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(330)</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Change in short-term investments,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(1,533)</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Change in other investments, net</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Purchases of property and equipment,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Acquisition of operations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(1,251)</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498</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Proceeds from issuance of preferred stock</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558</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Contractholder fund deposits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253</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Contractholder fund withdrawals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(492)</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Dividends paid on common stock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Dividends paid on preferred stock</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Treasury stock purchases</w:t>
            </w:r>
          </w:p>
        </w:tc>
        <w:tc>
          <w:tcPr>
            <w:tcW w:w="2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Shares reissued under equity incentive plans,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8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600"/>
              <w:spacing w:after="0"/>
              <w:rPr>
                <w:sz w:val="20"/>
                <w:szCs w:val="20"/>
                <w:color w:val="auto"/>
              </w:rPr>
            </w:pPr>
            <w:r>
              <w:rPr>
                <w:rFonts w:ascii="Arial" w:cs="Arial" w:eastAsia="Arial" w:hAnsi="Arial"/>
                <w:sz w:val="16"/>
                <w:szCs w:val="16"/>
                <w:b w:val="1"/>
                <w:bCs w:val="1"/>
                <w:color w:val="auto"/>
              </w:rPr>
              <w:t>Net cash (used in) provided by financing activities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458</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increase (decrease) in cash</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(167)</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color w:val="auto"/>
              </w:rPr>
              <w:t>Cash at beginning of period</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617</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904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at end of period</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551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450</w:t>
            </w:r>
          </w:p>
        </w:tc>
      </w:tr>
      <w:tr>
        <w:trPr>
          <w:trHeight w:val="33"/>
        </w:trPr>
        <w:tc>
          <w:tcPr>
            <w:tcW w:w="8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bl>
    <w:p>
      <w:pPr>
        <w:spacing w:after="0" w:line="11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41" w:right="239" w:bottom="0" w:gutter="0" w:footer="0" w:header="0"/>
        </w:sectPr>
      </w:pPr>
    </w:p>
    <w:p>
      <w:pPr>
        <w:spacing w:after="0" w:line="241" w:lineRule="exact"/>
        <w:rPr>
          <w:sz w:val="20"/>
          <w:szCs w:val="20"/>
          <w:color w:val="auto"/>
        </w:rPr>
      </w:pPr>
    </w:p>
    <w:p>
      <w:pPr>
        <w:ind w:left="914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5</w:t>
      </w:r>
    </w:p>
    <w:p>
      <w:pPr>
        <w:sectPr>
          <w:pgSz w:w="11900" w:h="16838" w:orient="portrait"/>
          <w:cols w:equalWidth="0" w:num="1">
            <w:col w:w="11420"/>
          </w:cols>
          <w:pgMar w:left="240" w:top="141" w:right="239" w:bottom="0" w:gutter="0" w:footer="0" w:header="0"/>
          <w:type w:val="continuous"/>
        </w:sectPr>
      </w:pPr>
    </w:p>
    <w:bookmarkStart w:id="7" w:name="page8"/>
    <w:bookmarkEnd w:id="7"/>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666AF"/>
        </w:rPr>
        <w:t>The Allstate Corporation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1666AF"/>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1666AF"/>
        </w:rPr>
        <w:t>(Unaudited)</w:t>
      </w:r>
    </w:p>
    <w:p>
      <w:pPr>
        <w:spacing w:after="0" w:line="138"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1</w:t>
      </w:r>
      <w:r>
        <w:rPr>
          <w:sz w:val="20"/>
          <w:szCs w:val="20"/>
          <w:color w:val="auto"/>
        </w:rPr>
        <w:tab/>
      </w:r>
      <w:r>
        <w:rPr>
          <w:rFonts w:ascii="Arial" w:cs="Arial" w:eastAsia="Arial" w:hAnsi="Arial"/>
          <w:sz w:val="19"/>
          <w:szCs w:val="19"/>
          <w:b w:val="1"/>
          <w:bCs w:val="1"/>
          <w:color w:val="auto"/>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1" w:right="25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Basis of presentation</w:t>
      </w:r>
    </w:p>
    <w:p>
      <w:pPr>
        <w:spacing w:after="0" w:line="133" w:lineRule="exact"/>
        <w:rPr>
          <w:sz w:val="20"/>
          <w:szCs w:val="20"/>
          <w:color w:val="auto"/>
        </w:rPr>
      </w:pPr>
    </w:p>
    <w:p>
      <w:pPr>
        <w:ind w:right="120" w:firstLine="324"/>
        <w:spacing w:after="0" w:line="248" w:lineRule="auto"/>
        <w:rPr>
          <w:sz w:val="20"/>
          <w:szCs w:val="20"/>
          <w:color w:val="auto"/>
        </w:rPr>
      </w:pPr>
      <w:r>
        <w:rPr>
          <w:rFonts w:ascii="Arial" w:cs="Arial" w:eastAsia="Arial" w:hAnsi="Arial"/>
          <w:sz w:val="16"/>
          <w:szCs w:val="16"/>
          <w:color w:val="auto"/>
        </w:rPr>
        <w:t>The accompanying condensed consolidated financial statements include the accounts of The Allstate Corporation (the “Corporation”) and its wholly owned subsidiaries, primarily Allstate Insurance Company (“AIC”), a property and casualty insurance company with various property and casualty and life and investment subsidiaries, including Allstate Life Insurance Company (“ALIC”) (collectively referred to as the “Company” or “Allstate”). These condensed consolidated financial statements have been prepared in conformity with accounting principles generally accepted in the United States of America (“GAAP”).</w:t>
      </w:r>
    </w:p>
    <w:p>
      <w:pPr>
        <w:spacing w:after="0" w:line="99" w:lineRule="exact"/>
        <w:rPr>
          <w:sz w:val="20"/>
          <w:szCs w:val="20"/>
          <w:color w:val="auto"/>
        </w:rPr>
      </w:pPr>
    </w:p>
    <w:p>
      <w:pPr>
        <w:ind w:right="20" w:firstLine="324"/>
        <w:spacing w:after="0" w:line="247" w:lineRule="auto"/>
        <w:rPr>
          <w:sz w:val="20"/>
          <w:szCs w:val="20"/>
          <w:color w:val="auto"/>
        </w:rPr>
      </w:pPr>
      <w:r>
        <w:rPr>
          <w:rFonts w:ascii="Arial" w:cs="Arial" w:eastAsia="Arial" w:hAnsi="Arial"/>
          <w:sz w:val="16"/>
          <w:szCs w:val="16"/>
          <w:color w:val="auto"/>
        </w:rPr>
        <w:t>The condensed consolidated financial statements and notes as of March 31, 2019 and for the three month periods ended March 31, 2019 and 2018 are unaudited. The condensed consolidated financial statements reflect all adjustments (consisting only of normal recurring accruals) which are, in the opinion of management, necessary for the fair presentation of the financial position, results of operations and cash flows for the interim periods. These condensed consolidated financial statements and notes should be read in conjunction with the consolidated financial statements and notes thereto included in the Company’s annual report on Form 10-K for the year ended December 31, 2018. The results of operations for the interim periods should not be considered indicative of results to be expected for the full year. All significant intercompany accounts and transactions have been eliminated.</w:t>
      </w:r>
    </w:p>
    <w:p>
      <w:pPr>
        <w:spacing w:after="0" w:line="294" w:lineRule="exact"/>
        <w:rPr>
          <w:sz w:val="20"/>
          <w:szCs w:val="20"/>
          <w:color w:val="auto"/>
        </w:rPr>
      </w:pPr>
    </w:p>
    <w:p>
      <w:pPr>
        <w:ind w:firstLine="324"/>
        <w:spacing w:after="0" w:line="253" w:lineRule="auto"/>
        <w:rPr>
          <w:sz w:val="20"/>
          <w:szCs w:val="20"/>
          <w:color w:val="auto"/>
        </w:rPr>
      </w:pPr>
      <w:r>
        <w:rPr>
          <w:rFonts w:ascii="Arial" w:cs="Arial" w:eastAsia="Arial" w:hAnsi="Arial"/>
          <w:sz w:val="16"/>
          <w:szCs w:val="16"/>
          <w:color w:val="auto"/>
        </w:rPr>
        <w:t>To conform to the current year presentation, certain amounts in the prior year condensed consolidated financial statements and notes have been reclassified.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Adopted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1666AF"/>
        </w:rPr>
        <w:t>Accounting for Leases</w:t>
      </w:r>
    </w:p>
    <w:p>
      <w:pPr>
        <w:spacing w:after="0" w:line="129" w:lineRule="exact"/>
        <w:rPr>
          <w:sz w:val="20"/>
          <w:szCs w:val="20"/>
          <w:color w:val="auto"/>
        </w:rPr>
      </w:pPr>
    </w:p>
    <w:p>
      <w:pPr>
        <w:ind w:right="20" w:firstLine="324"/>
        <w:spacing w:after="0" w:line="247" w:lineRule="auto"/>
        <w:rPr>
          <w:sz w:val="20"/>
          <w:szCs w:val="20"/>
          <w:color w:val="auto"/>
        </w:rPr>
      </w:pPr>
      <w:r>
        <w:rPr>
          <w:rFonts w:ascii="Arial" w:cs="Arial" w:eastAsia="Arial" w:hAnsi="Arial"/>
          <w:sz w:val="16"/>
          <w:szCs w:val="16"/>
          <w:color w:val="auto"/>
        </w:rPr>
        <w:t>Effective January 1, 2019 the Company adopted new Financial Accounting Standards Board ("FASB") guidance related to accounting for leases. Upon adoption of the guidance under the optional transition method that allows application of the transition provisions at the adoption date instead of the earliest period presented, the Company recorded a $585 million lease liability equal to the present value of lease payments and a $488 million right-of-use (“ROU”) asset, which is the corresponding lease liability adjusted for qualifying accrued lease payments. The lease liability and ROU asset were reported as part of other liabilities and other assets on the Condensed Consolidated Statements of Financial Position. The impact of these changes at adoption had no impact on net income or shareholders’ equity. Prior periods were not restated under the new standard. The Company utilized practical expedients which do not require reassessment of existing contracts for the existence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 lease or reassessment of existing lease classifications.</w:t>
      </w:r>
    </w:p>
    <w:p>
      <w:pPr>
        <w:spacing w:after="0" w:line="113" w:lineRule="exact"/>
        <w:rPr>
          <w:sz w:val="20"/>
          <w:szCs w:val="20"/>
          <w:color w:val="auto"/>
        </w:rPr>
      </w:pPr>
    </w:p>
    <w:p>
      <w:pPr>
        <w:ind w:right="60" w:firstLine="324"/>
        <w:spacing w:after="0" w:line="249" w:lineRule="auto"/>
        <w:rPr>
          <w:sz w:val="20"/>
          <w:szCs w:val="20"/>
          <w:color w:val="auto"/>
        </w:rPr>
      </w:pPr>
      <w:r>
        <w:rPr>
          <w:rFonts w:ascii="Arial" w:cs="Arial" w:eastAsia="Arial" w:hAnsi="Arial"/>
          <w:sz w:val="16"/>
          <w:szCs w:val="16"/>
          <w:color w:val="auto"/>
        </w:rPr>
        <w:t>Upon adoption, the new guidance required sellers in a sale-leaseback transaction to recognize the entire gain from the sale of an underlying asset at the time the sale is recognized rather than over the leaseback term. The carrying value of unrecognized gains on sale-leaseback transactions executed prior to January 1, 2019 was $21 million, after-tax, and was recorded as an increase to retained income at the date of adoption.</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1666AF"/>
        </w:rPr>
        <w:t>Accounting for Hedging Activities</w:t>
      </w:r>
    </w:p>
    <w:p>
      <w:pPr>
        <w:spacing w:after="0" w:line="129" w:lineRule="exact"/>
        <w:rPr>
          <w:sz w:val="20"/>
          <w:szCs w:val="20"/>
          <w:color w:val="auto"/>
        </w:rPr>
      </w:pPr>
    </w:p>
    <w:p>
      <w:pPr>
        <w:ind w:right="20" w:firstLine="324"/>
        <w:spacing w:after="0" w:line="247" w:lineRule="auto"/>
        <w:rPr>
          <w:sz w:val="20"/>
          <w:szCs w:val="20"/>
          <w:color w:val="auto"/>
        </w:rPr>
      </w:pPr>
      <w:r>
        <w:rPr>
          <w:rFonts w:ascii="Arial" w:cs="Arial" w:eastAsia="Arial" w:hAnsi="Arial"/>
          <w:sz w:val="16"/>
          <w:szCs w:val="16"/>
          <w:color w:val="auto"/>
        </w:rPr>
        <w:t>Effective January 1, 2019 the Company adopted new FASB guidance intended to better align hedge accounting with an organization’s risk management activities. The new guidance expands hedge accounting to nonfinancial and financial risk components and revises the measurement methodologies to better align with an organization’s risk management activities. Separate presentation of hedge ineffectiveness is eliminated with the intention to provide greater transparency to the full impact of hedging by requiring presentation of the results of the hedged item and hedging instrument in a single financial statement line item. In addition, the amendments were designed to reduce complexity by simplifying hedge effectiveness testing. The adoption had no impact on the Company’s results of operations or financial position.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Changes to significant accounting policies for leases</w:t>
      </w:r>
    </w:p>
    <w:p>
      <w:pPr>
        <w:spacing w:after="0" w:line="133"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The Company has certain operating leases for office facilities, computer and office equipment, and transportation vehicles. The Company’s leases have remaining lease terms of 1 year to 11 years, some of which include options to extend the leases for up to 14 years, and some of which include options to terminate the leases within 60 days.</w:t>
      </w:r>
    </w:p>
    <w:p>
      <w:pPr>
        <w:spacing w:after="0" w:line="95" w:lineRule="exact"/>
        <w:rPr>
          <w:sz w:val="20"/>
          <w:szCs w:val="20"/>
          <w:color w:val="auto"/>
        </w:rPr>
      </w:pPr>
    </w:p>
    <w:p>
      <w:pPr>
        <w:ind w:right="100" w:firstLine="324"/>
        <w:spacing w:after="0" w:line="248" w:lineRule="auto"/>
        <w:rPr>
          <w:sz w:val="20"/>
          <w:szCs w:val="20"/>
          <w:color w:val="auto"/>
        </w:rPr>
      </w:pPr>
      <w:r>
        <w:rPr>
          <w:rFonts w:ascii="Arial" w:cs="Arial" w:eastAsia="Arial" w:hAnsi="Arial"/>
          <w:sz w:val="16"/>
          <w:szCs w:val="16"/>
          <w:color w:val="auto"/>
        </w:rPr>
        <w:t>The Company determines if an arrangement is a lease at inception. Leases with an initial term less than one year are not recorded on the balance sheet and the lease costs for these leases are recorded on a straight-line basis over the lease term. Operating leases with terms greater than one year, result in a lease liability recorded in other liabilities with a corresponding ROU asset recorded in other assets. As of March 31, 2019, the Company had $572 million in lease liabilities and $474 million in ROU assets.</w:t>
      </w:r>
    </w:p>
    <w:p>
      <w:pPr>
        <w:spacing w:after="0" w:line="100" w:lineRule="exact"/>
        <w:rPr>
          <w:sz w:val="20"/>
          <w:szCs w:val="20"/>
          <w:color w:val="auto"/>
        </w:rPr>
      </w:pPr>
    </w:p>
    <w:p>
      <w:pPr>
        <w:ind w:right="80" w:firstLine="324"/>
        <w:spacing w:after="0" w:line="250" w:lineRule="auto"/>
        <w:rPr>
          <w:sz w:val="20"/>
          <w:szCs w:val="20"/>
          <w:color w:val="auto"/>
        </w:rPr>
      </w:pPr>
      <w:r>
        <w:rPr>
          <w:rFonts w:ascii="Arial" w:cs="Arial" w:eastAsia="Arial" w:hAnsi="Arial"/>
          <w:sz w:val="16"/>
          <w:szCs w:val="16"/>
          <w:color w:val="auto"/>
        </w:rPr>
        <w:t>Operating lease liabilities are recognized at the commencement date based on the present value of future minimum lease payments over the lease term. ROU assets are recognized based on the corresponding lease liabilities adjusted for qualifying initial direct costs, prepaid or accrued lease payments and unamortized lease incentives. As most of the</w:t>
      </w:r>
    </w:p>
    <w:p>
      <w:pPr>
        <w:spacing w:after="0" w:line="353" w:lineRule="exact"/>
        <w:rPr>
          <w:sz w:val="20"/>
          <w:szCs w:val="20"/>
          <w:color w:val="auto"/>
        </w:rPr>
      </w:pPr>
    </w:p>
    <w:p>
      <w:pPr>
        <w:sectPr>
          <w:pgSz w:w="11900" w:h="16838" w:orient="portrait"/>
          <w:cols w:equalWidth="0" w:num="2">
            <w:col w:w="5480" w:space="460"/>
            <w:col w:w="5460"/>
          </w:cols>
          <w:pgMar w:left="240" w:top="141" w:right="25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6 </w:t>
      </w:r>
      <w:r>
        <w:rPr>
          <w:sz w:val="1"/>
          <w:szCs w:val="1"/>
          <w:color w:val="auto"/>
        </w:rPr>
        <w:drawing>
          <wp:inline distT="0" distB="0" distL="0" distR="0">
            <wp:extent cx="111760" cy="1117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00"/>
          </w:cols>
          <w:pgMar w:left="240" w:top="141" w:right="25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Company’s leases do not disclose the implicit interest rate, the Company uses collateralized incremental borrowing rates based on information available at lease commencement when determining the present value of future lease payments. The Company has lease agreements with lease and non-lease components, which are generally accounted for as a single lease. Lease terms may include options to extend or terminate the lease which are incorporated into the Company’s measurements when it is reasonably certain that the Company will exercise the option.</w:t>
      </w:r>
    </w:p>
    <w:p>
      <w:pPr>
        <w:spacing w:after="0" w:line="100" w:lineRule="exact"/>
        <w:rPr>
          <w:sz w:val="20"/>
          <w:szCs w:val="20"/>
          <w:color w:val="auto"/>
        </w:rPr>
      </w:pPr>
    </w:p>
    <w:p>
      <w:pPr>
        <w:ind w:right="100" w:firstLine="324"/>
        <w:spacing w:after="0" w:line="249" w:lineRule="auto"/>
        <w:rPr>
          <w:sz w:val="20"/>
          <w:szCs w:val="20"/>
          <w:color w:val="auto"/>
        </w:rPr>
      </w:pPr>
      <w:r>
        <w:rPr>
          <w:rFonts w:ascii="Arial" w:cs="Arial" w:eastAsia="Arial" w:hAnsi="Arial"/>
          <w:sz w:val="16"/>
          <w:szCs w:val="16"/>
          <w:color w:val="auto"/>
        </w:rPr>
        <w:t>Operating lease costs are recognized on a straight-line basis over the lease term and include interest expense on the lease liability and amortization of the ROU asset. Variable lease costs are expensed as incurred and include maintenance costs and real estate taxes. Lease costs are reported in operating costs and expenses and totaled $41 million, including $7 million of variable lease costs in first quarter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77470</wp:posOffset>
            </wp:positionV>
            <wp:extent cx="3439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Other information related to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37465</wp:posOffset>
            </wp:positionV>
            <wp:extent cx="3439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w w:val="94"/>
              </w:rPr>
              <w:t>As of March 31, 2019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660" w:type="dxa"/>
            <w:vAlign w:val="bottom"/>
            <w:tcBorders>
              <w:bottom w:val="single" w:sz="8" w:color="005BA5"/>
            </w:tcBorders>
          </w:tcPr>
          <w:p>
            <w:pPr>
              <w:spacing w:after="0"/>
              <w:rPr>
                <w:sz w:val="2"/>
                <w:szCs w:val="2"/>
                <w:color w:val="auto"/>
              </w:rPr>
            </w:pPr>
          </w:p>
        </w:tc>
        <w:tc>
          <w:tcPr>
            <w:tcW w:w="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Weighted average remaining lease term</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vMerge w:val="restart"/>
          </w:tcPr>
          <w:p>
            <w:pPr>
              <w:jc w:val="right"/>
              <w:ind w:right="39"/>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(years)</w:t>
            </w:r>
          </w:p>
        </w:tc>
        <w:tc>
          <w:tcPr>
            <w:tcW w:w="120" w:type="dxa"/>
            <w:vAlign w:val="bottom"/>
            <w:vMerge w:val="restart"/>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3000" w:type="dxa"/>
            <w:vAlign w:val="bottom"/>
            <w:tcBorders>
              <w:bottom w:val="single" w:sz="8" w:color="ACACAC"/>
            </w:tcBorders>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60" w:type="dxa"/>
            <w:vAlign w:val="bottom"/>
            <w:tcBorders>
              <w:bottom w:val="single" w:sz="8" w:color="ACACAC"/>
            </w:tcBorders>
          </w:tcPr>
          <w:p>
            <w:pPr>
              <w:spacing w:after="0"/>
              <w:rPr>
                <w:sz w:val="9"/>
                <w:szCs w:val="9"/>
                <w:color w:val="auto"/>
              </w:rPr>
            </w:pPr>
          </w:p>
        </w:tc>
        <w:tc>
          <w:tcPr>
            <w:tcW w:w="100" w:type="dxa"/>
            <w:vAlign w:val="bottom"/>
            <w:tcBorders>
              <w:bottom w:val="single" w:sz="8" w:color="ACACAC"/>
            </w:tcBorders>
          </w:tcPr>
          <w:p>
            <w:pPr>
              <w:spacing w:after="0"/>
              <w:rPr>
                <w:sz w:val="9"/>
                <w:szCs w:val="9"/>
                <w:color w:val="auto"/>
              </w:rPr>
            </w:pPr>
          </w:p>
        </w:tc>
        <w:tc>
          <w:tcPr>
            <w:tcW w:w="240" w:type="dxa"/>
            <w:vAlign w:val="bottom"/>
            <w:tcBorders>
              <w:bottom w:val="single" w:sz="8" w:color="ACACAC"/>
            </w:tcBorders>
          </w:tcPr>
          <w:p>
            <w:pPr>
              <w:spacing w:after="0"/>
              <w:rPr>
                <w:sz w:val="9"/>
                <w:szCs w:val="9"/>
                <w:color w:val="auto"/>
              </w:rPr>
            </w:pPr>
          </w:p>
        </w:tc>
        <w:tc>
          <w:tcPr>
            <w:tcW w:w="1660" w:type="dxa"/>
            <w:vAlign w:val="bottom"/>
            <w:tcBorders>
              <w:bottom w:val="single" w:sz="8" w:color="ACACAC"/>
            </w:tcBorders>
          </w:tcPr>
          <w:p>
            <w:pPr>
              <w:spacing w:after="0"/>
              <w:rPr>
                <w:sz w:val="9"/>
                <w:szCs w:val="9"/>
                <w:color w:val="auto"/>
              </w:rPr>
            </w:pPr>
          </w:p>
        </w:tc>
        <w:tc>
          <w:tcPr>
            <w:tcW w:w="40" w:type="dxa"/>
            <w:vAlign w:val="bottom"/>
            <w:tcBorders>
              <w:bottom w:val="single" w:sz="8" w:color="ACACA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120" w:type="dxa"/>
            <w:vAlign w:val="bottom"/>
            <w:gridSpan w:val="2"/>
          </w:tcPr>
          <w:p>
            <w:pPr>
              <w:ind w:left="20"/>
              <w:spacing w:after="0"/>
              <w:rPr>
                <w:sz w:val="20"/>
                <w:szCs w:val="20"/>
                <w:color w:val="auto"/>
              </w:rPr>
            </w:pPr>
            <w:r>
              <w:rPr>
                <w:rFonts w:ascii="Arial" w:cs="Arial" w:eastAsia="Arial" w:hAnsi="Arial"/>
                <w:sz w:val="16"/>
                <w:szCs w:val="16"/>
                <w:color w:val="auto"/>
              </w:rPr>
              <w:t>Weighted average discount rate</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0" w:type="dxa"/>
            <w:vAlign w:val="bottom"/>
            <w:tcBorders>
              <w:bottom w:val="single" w:sz="8" w:color="1666AF"/>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1666AF"/>
            </w:tcBorders>
          </w:tcPr>
          <w:p>
            <w:pPr>
              <w:spacing w:after="0"/>
              <w:rPr>
                <w:sz w:val="2"/>
                <w:szCs w:val="2"/>
                <w:color w:val="auto"/>
              </w:rPr>
            </w:pPr>
          </w:p>
        </w:tc>
        <w:tc>
          <w:tcPr>
            <w:tcW w:w="100" w:type="dxa"/>
            <w:vAlign w:val="bottom"/>
            <w:tcBorders>
              <w:bottom w:val="single" w:sz="8" w:color="1666AF"/>
            </w:tcBorders>
          </w:tcPr>
          <w:p>
            <w:pPr>
              <w:spacing w:after="0"/>
              <w:rPr>
                <w:sz w:val="2"/>
                <w:szCs w:val="2"/>
                <w:color w:val="auto"/>
              </w:rPr>
            </w:pPr>
          </w:p>
        </w:tc>
        <w:tc>
          <w:tcPr>
            <w:tcW w:w="240" w:type="dxa"/>
            <w:vAlign w:val="bottom"/>
            <w:tcBorders>
              <w:bottom w:val="single" w:sz="8" w:color="1666AF"/>
            </w:tcBorders>
          </w:tcPr>
          <w:p>
            <w:pPr>
              <w:spacing w:after="0"/>
              <w:rPr>
                <w:sz w:val="2"/>
                <w:szCs w:val="2"/>
                <w:color w:val="auto"/>
              </w:rPr>
            </w:pPr>
          </w:p>
        </w:tc>
        <w:tc>
          <w:tcPr>
            <w:tcW w:w="1660" w:type="dxa"/>
            <w:vAlign w:val="bottom"/>
            <w:tcBorders>
              <w:bottom w:val="single" w:sz="8" w:color="1666AF"/>
            </w:tcBorders>
          </w:tcPr>
          <w:p>
            <w:pPr>
              <w:spacing w:after="0"/>
              <w:rPr>
                <w:sz w:val="2"/>
                <w:szCs w:val="2"/>
                <w:color w:val="auto"/>
              </w:rPr>
            </w:pPr>
          </w:p>
        </w:tc>
        <w:tc>
          <w:tcPr>
            <w:tcW w:w="40" w:type="dxa"/>
            <w:vAlign w:val="bottom"/>
            <w:tcBorders>
              <w:bottom w:val="single" w:sz="8" w:color="1666AF"/>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3160" w:type="dxa"/>
            <w:vAlign w:val="bottom"/>
            <w:tcBorders>
              <w:bottom w:val="single" w:sz="8" w:color="auto"/>
            </w:tcBorders>
            <w:gridSpan w:val="3"/>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60" w:type="dxa"/>
            <w:vAlign w:val="bottom"/>
            <w:gridSpan w:val="3"/>
          </w:tcPr>
          <w:p>
            <w:pPr>
              <w:ind w:left="40"/>
              <w:spacing w:after="0"/>
              <w:rPr>
                <w:sz w:val="20"/>
                <w:szCs w:val="20"/>
                <w:color w:val="auto"/>
              </w:rPr>
            </w:pPr>
            <w:r>
              <w:rPr>
                <w:rFonts w:ascii="Arial" w:cs="Arial" w:eastAsia="Arial" w:hAnsi="Arial"/>
                <w:sz w:val="16"/>
                <w:szCs w:val="16"/>
                <w:b w:val="1"/>
                <w:bCs w:val="1"/>
                <w:color w:val="auto"/>
              </w:rPr>
              <w:t>Maturity of lease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160" w:type="dxa"/>
            <w:vAlign w:val="bottom"/>
            <w:tcBorders>
              <w:bottom w:val="single" w:sz="8" w:color="005BA5"/>
            </w:tcBorders>
            <w:gridSpan w:val="3"/>
          </w:tcPr>
          <w:p>
            <w:pPr>
              <w:ind w:left="40"/>
              <w:spacing w:after="0"/>
              <w:rPr>
                <w:sz w:val="20"/>
                <w:szCs w:val="20"/>
                <w:color w:val="auto"/>
              </w:rPr>
            </w:pPr>
            <w:r>
              <w:rPr>
                <w:rFonts w:ascii="Arial" w:cs="Arial" w:eastAsia="Arial" w:hAnsi="Arial"/>
                <w:sz w:val="14"/>
                <w:szCs w:val="14"/>
                <w:b w:val="1"/>
                <w:bCs w:val="1"/>
                <w:color w:val="auto"/>
              </w:rPr>
              <w:t>($ in millions)</w:t>
            </w:r>
          </w:p>
        </w:tc>
        <w:tc>
          <w:tcPr>
            <w:tcW w:w="260" w:type="dxa"/>
            <w:vAlign w:val="bottom"/>
            <w:tcBorders>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005BA5"/>
            </w:tcBorders>
          </w:tcPr>
          <w:p>
            <w:pPr>
              <w:spacing w:after="0"/>
              <w:rPr>
                <w:sz w:val="22"/>
                <w:szCs w:val="22"/>
                <w:color w:val="auto"/>
              </w:rPr>
            </w:pPr>
          </w:p>
        </w:tc>
        <w:tc>
          <w:tcPr>
            <w:tcW w:w="1660" w:type="dxa"/>
            <w:vAlign w:val="bottom"/>
            <w:tcBorders>
              <w:bottom w:val="single" w:sz="8" w:color="005BA5"/>
            </w:tcBorders>
          </w:tcPr>
          <w:p>
            <w:pPr>
              <w:jc w:val="right"/>
              <w:ind w:right="299"/>
              <w:spacing w:after="0"/>
              <w:rPr>
                <w:sz w:val="20"/>
                <w:szCs w:val="20"/>
                <w:color w:val="auto"/>
              </w:rPr>
            </w:pPr>
            <w:r>
              <w:rPr>
                <w:rFonts w:ascii="Arial" w:cs="Arial" w:eastAsia="Arial" w:hAnsi="Arial"/>
                <w:sz w:val="16"/>
                <w:szCs w:val="16"/>
                <w:b w:val="1"/>
                <w:bCs w:val="1"/>
                <w:color w:val="auto"/>
                <w:w w:val="97"/>
              </w:rPr>
              <w:t>Operating leases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40" w:type="dxa"/>
            <w:vAlign w:val="bottom"/>
            <w:gridSpan w:val="2"/>
          </w:tcPr>
          <w:p>
            <w:pPr>
              <w:ind w:left="40"/>
              <w:spacing w:after="0" w:line="255" w:lineRule="exact"/>
              <w:rPr>
                <w:sz w:val="20"/>
                <w:szCs w:val="20"/>
                <w:color w:val="auto"/>
              </w:rPr>
            </w:pPr>
            <w:r>
              <w:rPr>
                <w:rFonts w:ascii="Arial" w:cs="Arial" w:eastAsia="Arial" w:hAnsi="Arial"/>
                <w:sz w:val="16"/>
                <w:szCs w:val="16"/>
                <w:color w:val="auto"/>
              </w:rPr>
              <w:t xml:space="preserve">2019 </w:t>
            </w:r>
            <w:r>
              <w:rPr>
                <w:rFonts w:ascii="Arial" w:cs="Arial" w:eastAsia="Arial" w:hAnsi="Arial"/>
                <w:sz w:val="27"/>
                <w:szCs w:val="27"/>
                <w:color w:val="auto"/>
                <w:vertAlign w:val="superscript"/>
              </w:rPr>
              <w:t>(1)</w:t>
            </w:r>
          </w:p>
        </w:tc>
        <w:tc>
          <w:tcPr>
            <w:tcW w:w="120" w:type="dxa"/>
            <w:vAlign w:val="bottom"/>
          </w:tcPr>
          <w:p>
            <w:pPr>
              <w:spacing w:after="0"/>
              <w:rPr>
                <w:sz w:val="22"/>
                <w:szCs w:val="22"/>
                <w:color w:val="auto"/>
              </w:rPr>
            </w:pPr>
          </w:p>
        </w:tc>
        <w:tc>
          <w:tcPr>
            <w:tcW w:w="60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040" w:type="dxa"/>
            <w:vAlign w:val="bottom"/>
            <w:tcBorders>
              <w:top w:val="single" w:sz="8" w:color="ACACAC"/>
            </w:tcBorders>
            <w:gridSpan w:val="2"/>
          </w:tcPr>
          <w:p>
            <w:pPr>
              <w:ind w:left="40"/>
              <w:spacing w:after="0"/>
              <w:rPr>
                <w:sz w:val="20"/>
                <w:szCs w:val="20"/>
                <w:color w:val="auto"/>
              </w:rPr>
            </w:pPr>
            <w:r>
              <w:rPr>
                <w:rFonts w:ascii="Arial" w:cs="Arial" w:eastAsia="Arial" w:hAnsi="Arial"/>
                <w:sz w:val="16"/>
                <w:szCs w:val="16"/>
                <w:color w:val="auto"/>
              </w:rPr>
              <w:t>2020</w:t>
            </w:r>
          </w:p>
        </w:tc>
        <w:tc>
          <w:tcPr>
            <w:tcW w:w="120" w:type="dxa"/>
            <w:vAlign w:val="bottom"/>
            <w:tcBorders>
              <w:top w:val="single" w:sz="8" w:color="ACACAC"/>
            </w:tcBorders>
          </w:tcPr>
          <w:p>
            <w:pPr>
              <w:spacing w:after="0"/>
              <w:rPr>
                <w:sz w:val="18"/>
                <w:szCs w:val="18"/>
                <w:color w:val="auto"/>
              </w:rPr>
            </w:pPr>
          </w:p>
        </w:tc>
        <w:tc>
          <w:tcPr>
            <w:tcW w:w="260" w:type="dxa"/>
            <w:vAlign w:val="bottom"/>
            <w:tcBorders>
              <w:top w:val="single" w:sz="8" w:color="ACACAC"/>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CACAC"/>
            </w:tcBorders>
          </w:tcPr>
          <w:p>
            <w:pPr>
              <w:spacing w:after="0"/>
              <w:rPr>
                <w:sz w:val="18"/>
                <w:szCs w:val="18"/>
                <w:color w:val="auto"/>
              </w:rPr>
            </w:pPr>
          </w:p>
        </w:tc>
        <w:tc>
          <w:tcPr>
            <w:tcW w:w="1660" w:type="dxa"/>
            <w:vAlign w:val="bottom"/>
            <w:tcBorders>
              <w:top w:val="single" w:sz="8" w:color="ACACAC"/>
            </w:tcBorders>
          </w:tcPr>
          <w:p>
            <w:pPr>
              <w:jc w:val="right"/>
              <w:spacing w:after="0"/>
              <w:rPr>
                <w:sz w:val="20"/>
                <w:szCs w:val="20"/>
                <w:color w:val="auto"/>
              </w:rPr>
            </w:pPr>
            <w:r>
              <w:rPr>
                <w:rFonts w:ascii="Arial" w:cs="Arial" w:eastAsia="Arial" w:hAnsi="Arial"/>
                <w:sz w:val="16"/>
                <w:szCs w:val="16"/>
                <w:color w:val="auto"/>
              </w:rPr>
              <w:t>135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40" w:type="dxa"/>
            <w:vAlign w:val="bottom"/>
            <w:tcBorders>
              <w:bottom w:val="single" w:sz="8" w:color="ACACAC"/>
            </w:tcBorders>
            <w:gridSpan w:val="2"/>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660" w:type="dxa"/>
            <w:vAlign w:val="bottom"/>
            <w:tcBorders>
              <w:bottom w:val="single" w:sz="8" w:color="ACACA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40" w:type="dxa"/>
            <w:vAlign w:val="bottom"/>
            <w:tcBorders>
              <w:bottom w:val="single" w:sz="8" w:color="ACACAC"/>
            </w:tcBorders>
            <w:gridSpan w:val="2"/>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660" w:type="dxa"/>
            <w:vAlign w:val="bottom"/>
            <w:tcBorders>
              <w:bottom w:val="single" w:sz="8" w:color="ACACA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40" w:type="dxa"/>
            <w:vAlign w:val="bottom"/>
            <w:tcBorders>
              <w:bottom w:val="single" w:sz="8" w:color="ACACAC"/>
            </w:tcBorders>
            <w:gridSpan w:val="2"/>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660" w:type="dxa"/>
            <w:vAlign w:val="bottom"/>
            <w:tcBorders>
              <w:bottom w:val="single" w:sz="8" w:color="ACACA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40" w:type="dxa"/>
            <w:vAlign w:val="bottom"/>
            <w:tcBorders>
              <w:bottom w:val="single" w:sz="8" w:color="ACACAC"/>
            </w:tcBorders>
            <w:gridSpan w:val="2"/>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660" w:type="dxa"/>
            <w:vAlign w:val="bottom"/>
            <w:tcBorders>
              <w:bottom w:val="single" w:sz="8" w:color="ACACA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040" w:type="dxa"/>
            <w:vAlign w:val="bottom"/>
            <w:gridSpan w:val="2"/>
          </w:tcPr>
          <w:p>
            <w:pPr>
              <w:ind w:left="40"/>
              <w:spacing w:after="0"/>
              <w:rPr>
                <w:sz w:val="20"/>
                <w:szCs w:val="20"/>
                <w:color w:val="auto"/>
              </w:rPr>
            </w:pPr>
            <w:r>
              <w:rPr>
                <w:rFonts w:ascii="Arial" w:cs="Arial" w:eastAsia="Arial" w:hAnsi="Arial"/>
                <w:sz w:val="16"/>
                <w:szCs w:val="16"/>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60" w:type="dxa"/>
            <w:vAlign w:val="bottom"/>
            <w:tcBorders>
              <w:bottom w:val="single" w:sz="8" w:color="ACACAC"/>
            </w:tcBorders>
            <w:gridSpan w:val="3"/>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660" w:type="dxa"/>
            <w:vAlign w:val="bottom"/>
            <w:tcBorders>
              <w:bottom w:val="single" w:sz="8" w:color="ACACA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60" w:type="dxa"/>
            <w:vAlign w:val="bottom"/>
            <w:gridSpan w:val="3"/>
          </w:tcPr>
          <w:p>
            <w:pPr>
              <w:ind w:left="40"/>
              <w:spacing w:after="0"/>
              <w:rPr>
                <w:sz w:val="20"/>
                <w:szCs w:val="20"/>
                <w:color w:val="auto"/>
              </w:rPr>
            </w:pPr>
            <w:r>
              <w:rPr>
                <w:rFonts w:ascii="Arial" w:cs="Arial" w:eastAsia="Arial" w:hAnsi="Arial"/>
                <w:sz w:val="16"/>
                <w:szCs w:val="16"/>
                <w:color w:val="auto"/>
              </w:rPr>
              <w:t>Thereafter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60" w:type="dxa"/>
            <w:vAlign w:val="bottom"/>
            <w:tcBorders>
              <w:bottom w:val="single" w:sz="8" w:color="1666AF"/>
            </w:tcBorders>
            <w:gridSpan w:val="3"/>
          </w:tcPr>
          <w:p>
            <w:pPr>
              <w:spacing w:after="0"/>
              <w:rPr>
                <w:sz w:val="2"/>
                <w:szCs w:val="2"/>
                <w:color w:val="auto"/>
              </w:rPr>
            </w:pPr>
          </w:p>
        </w:tc>
        <w:tc>
          <w:tcPr>
            <w:tcW w:w="26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1666AF"/>
            </w:tcBorders>
          </w:tcPr>
          <w:p>
            <w:pPr>
              <w:spacing w:after="0"/>
              <w:rPr>
                <w:sz w:val="2"/>
                <w:szCs w:val="2"/>
                <w:color w:val="auto"/>
              </w:rPr>
            </w:pPr>
          </w:p>
        </w:tc>
        <w:tc>
          <w:tcPr>
            <w:tcW w:w="1660" w:type="dxa"/>
            <w:vAlign w:val="bottom"/>
            <w:tcBorders>
              <w:bottom w:val="single" w:sz="8" w:color="1666AF"/>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160" w:type="dxa"/>
            <w:vAlign w:val="bottom"/>
            <w:gridSpan w:val="3"/>
          </w:tcPr>
          <w:p>
            <w:pPr>
              <w:ind w:left="40"/>
              <w:spacing w:after="0" w:line="250" w:lineRule="exact"/>
              <w:rPr>
                <w:sz w:val="20"/>
                <w:szCs w:val="20"/>
                <w:color w:val="auto"/>
              </w:rPr>
            </w:pPr>
            <w:r>
              <w:rPr>
                <w:rFonts w:ascii="Arial" w:cs="Arial" w:eastAsia="Arial" w:hAnsi="Arial"/>
                <w:sz w:val="16"/>
                <w:szCs w:val="16"/>
                <w:b w:val="1"/>
                <w:bCs w:val="1"/>
                <w:color w:val="auto"/>
              </w:rPr>
              <w:t xml:space="preserve">Total lease payments </w:t>
            </w:r>
            <w:r>
              <w:rPr>
                <w:rFonts w:ascii="Arial" w:cs="Arial" w:eastAsia="Arial" w:hAnsi="Arial"/>
                <w:sz w:val="27"/>
                <w:szCs w:val="27"/>
                <w:color w:val="auto"/>
                <w:vertAlign w:val="superscript"/>
              </w:rPr>
              <w:t>(2)</w:t>
            </w:r>
          </w:p>
        </w:tc>
        <w:tc>
          <w:tcPr>
            <w:tcW w:w="6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640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160" w:type="dxa"/>
            <w:vAlign w:val="bottom"/>
            <w:tcBorders>
              <w:top w:val="single" w:sz="8" w:color="ACACAC"/>
            </w:tcBorders>
            <w:gridSpan w:val="3"/>
          </w:tcPr>
          <w:p>
            <w:pPr>
              <w:ind w:left="40"/>
              <w:spacing w:after="0"/>
              <w:rPr>
                <w:sz w:val="20"/>
                <w:szCs w:val="20"/>
                <w:color w:val="auto"/>
              </w:rPr>
            </w:pPr>
            <w:r>
              <w:rPr>
                <w:rFonts w:ascii="Arial" w:cs="Arial" w:eastAsia="Arial" w:hAnsi="Arial"/>
                <w:sz w:val="16"/>
                <w:szCs w:val="16"/>
                <w:color w:val="auto"/>
              </w:rPr>
              <w:t>Less: interest</w:t>
            </w:r>
          </w:p>
        </w:tc>
        <w:tc>
          <w:tcPr>
            <w:tcW w:w="260" w:type="dxa"/>
            <w:vAlign w:val="bottom"/>
            <w:tcBorders>
              <w:top w:val="single" w:sz="8" w:color="ACACAC"/>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CACAC"/>
            </w:tcBorders>
          </w:tcPr>
          <w:p>
            <w:pPr>
              <w:spacing w:after="0"/>
              <w:rPr>
                <w:sz w:val="18"/>
                <w:szCs w:val="18"/>
                <w:color w:val="auto"/>
              </w:rPr>
            </w:pPr>
          </w:p>
        </w:tc>
        <w:tc>
          <w:tcPr>
            <w:tcW w:w="1660" w:type="dxa"/>
            <w:vAlign w:val="bottom"/>
            <w:tcBorders>
              <w:top w:val="single" w:sz="8" w:color="ACACAC"/>
            </w:tcBorders>
          </w:tcPr>
          <w:p>
            <w:pPr>
              <w:jc w:val="right"/>
              <w:spacing w:after="0"/>
              <w:rPr>
                <w:sz w:val="20"/>
                <w:szCs w:val="20"/>
                <w:color w:val="auto"/>
              </w:rPr>
            </w:pPr>
            <w:r>
              <w:rPr>
                <w:rFonts w:ascii="Arial" w:cs="Arial" w:eastAsia="Arial" w:hAnsi="Arial"/>
                <w:sz w:val="16"/>
                <w:szCs w:val="16"/>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160" w:type="dxa"/>
            <w:vAlign w:val="bottom"/>
            <w:tcBorders>
              <w:bottom w:val="single" w:sz="8" w:color="005BA5"/>
            </w:tcBorders>
            <w:gridSpan w:val="3"/>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660" w:type="dxa"/>
            <w:vAlign w:val="bottom"/>
            <w:tcBorders>
              <w:bottom w:val="single" w:sz="8" w:color="005BA5"/>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160" w:type="dxa"/>
            <w:vAlign w:val="bottom"/>
            <w:gridSpan w:val="3"/>
          </w:tcPr>
          <w:p>
            <w:pPr>
              <w:ind w:left="40"/>
              <w:spacing w:after="0"/>
              <w:rPr>
                <w:sz w:val="20"/>
                <w:szCs w:val="20"/>
                <w:color w:val="auto"/>
              </w:rPr>
            </w:pPr>
            <w:r>
              <w:rPr>
                <w:rFonts w:ascii="Arial" w:cs="Arial" w:eastAsia="Arial" w:hAnsi="Arial"/>
                <w:sz w:val="16"/>
                <w:szCs w:val="16"/>
                <w:b w:val="1"/>
                <w:bCs w:val="1"/>
                <w:color w:val="auto"/>
              </w:rPr>
              <w:t>Present value of lease liabilities</w:t>
            </w:r>
          </w:p>
        </w:tc>
        <w:tc>
          <w:tcPr>
            <w:tcW w:w="60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005BA5"/>
            </w:tcBorders>
          </w:tcPr>
          <w:p>
            <w:pPr>
              <w:spacing w:after="0"/>
              <w:rPr>
                <w:sz w:val="2"/>
                <w:szCs w:val="2"/>
                <w:color w:val="auto"/>
              </w:rPr>
            </w:pPr>
          </w:p>
        </w:tc>
        <w:tc>
          <w:tcPr>
            <w:tcW w:w="30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660" w:type="dxa"/>
            <w:vAlign w:val="bottom"/>
            <w:tcBorders>
              <w:bottom w:val="single" w:sz="8" w:color="005BA5"/>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280" w:hanging="191"/>
        <w:spacing w:after="0"/>
        <w:tabs>
          <w:tab w:leader="none" w:pos="280" w:val="left"/>
        </w:tabs>
        <w:numPr>
          <w:ilvl w:val="0"/>
          <w:numId w:val="2"/>
        </w:numPr>
        <w:rPr>
          <w:rFonts w:ascii="Arial" w:cs="Arial" w:eastAsia="Arial" w:hAnsi="Arial"/>
          <w:sz w:val="23"/>
          <w:szCs w:val="23"/>
          <w:color w:val="1666AF"/>
          <w:vertAlign w:val="superscript"/>
        </w:rPr>
      </w:pPr>
      <w:r>
        <w:rPr>
          <w:rFonts w:ascii="Arial" w:cs="Arial" w:eastAsia="Arial" w:hAnsi="Arial"/>
          <w:sz w:val="14"/>
          <w:szCs w:val="14"/>
          <w:color w:val="auto"/>
        </w:rPr>
        <w:t>Excludes maturity of lease liabilities for the three months ended March 31, 2019.</w:t>
      </w:r>
    </w:p>
    <w:p>
      <w:pPr>
        <w:spacing w:after="0" w:line="43" w:lineRule="exact"/>
        <w:rPr>
          <w:rFonts w:ascii="Arial" w:cs="Arial" w:eastAsia="Arial" w:hAnsi="Arial"/>
          <w:sz w:val="23"/>
          <w:szCs w:val="23"/>
          <w:color w:val="1666AF"/>
          <w:vertAlign w:val="superscript"/>
        </w:rPr>
      </w:pPr>
    </w:p>
    <w:p>
      <w:pPr>
        <w:ind w:left="280" w:right="360" w:hanging="191"/>
        <w:spacing w:after="0" w:line="196" w:lineRule="auto"/>
        <w:tabs>
          <w:tab w:leader="none" w:pos="280" w:val="left"/>
        </w:tabs>
        <w:numPr>
          <w:ilvl w:val="0"/>
          <w:numId w:val="2"/>
        </w:numPr>
        <w:rPr>
          <w:rFonts w:ascii="Arial" w:cs="Arial" w:eastAsia="Arial" w:hAnsi="Arial"/>
          <w:sz w:val="23"/>
          <w:szCs w:val="23"/>
          <w:color w:val="1666AF"/>
          <w:vertAlign w:val="superscript"/>
        </w:rPr>
      </w:pPr>
      <w:r>
        <w:rPr>
          <w:rFonts w:ascii="Arial" w:cs="Arial" w:eastAsia="Arial" w:hAnsi="Arial"/>
          <w:sz w:val="14"/>
          <w:szCs w:val="14"/>
          <w:color w:val="auto"/>
        </w:rPr>
        <w:t>Excludes operating leases that have not yet commenced of $11 million as of March 31, 2019.</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Pending accounting standards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1666AF"/>
        </w:rPr>
        <w:t>Measurement of Credit Losses on Financial Instruments</w:t>
      </w:r>
    </w:p>
    <w:p>
      <w:pPr>
        <w:spacing w:after="0" w:line="129" w:lineRule="exact"/>
        <w:rPr>
          <w:sz w:val="20"/>
          <w:szCs w:val="20"/>
          <w:color w:val="auto"/>
        </w:rPr>
      </w:pPr>
    </w:p>
    <w:p>
      <w:pPr>
        <w:ind w:right="20" w:firstLine="324"/>
        <w:spacing w:after="0" w:line="248" w:lineRule="auto"/>
        <w:rPr>
          <w:sz w:val="20"/>
          <w:szCs w:val="20"/>
          <w:color w:val="auto"/>
        </w:rPr>
      </w:pPr>
      <w:r>
        <w:rPr>
          <w:rFonts w:ascii="Arial" w:cs="Arial" w:eastAsia="Arial" w:hAnsi="Arial"/>
          <w:sz w:val="16"/>
          <w:szCs w:val="16"/>
          <w:color w:val="auto"/>
        </w:rPr>
        <w:t>In June 2016, the FASB issued guidance which revises the credit loss recognition criteria for certain financial assets measured at amortized cost, including reinsurance recoverables. The new guidance replaces the existing incurred loss recognition model with an expected loss recognition model. The objective of the expected credit loss model is for a reporting entity to recognize its estimate of expected credit losses for affected financial assets in a valuation allowance that when deducted from the amortized cost basis of the related financial assets results in a net carrying value of affected financial assets at the amount expected to be</w:t>
      </w:r>
    </w:p>
    <w:p>
      <w:pPr>
        <w:spacing w:after="0" w:line="20" w:lineRule="exact"/>
        <w:rPr>
          <w:sz w:val="20"/>
          <w:szCs w:val="20"/>
          <w:color w:val="auto"/>
        </w:rPr>
      </w:pPr>
      <w:r>
        <w:rPr>
          <w:sz w:val="20"/>
          <w:szCs w:val="20"/>
          <w:color w:val="auto"/>
        </w:rPr>
        <w:br w:type="column"/>
      </w:r>
    </w:p>
    <w:p>
      <w:pPr>
        <w:ind w:left="146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collected. The reporting entity must consider all relevant information available when estimating expected credit losses, including details about past events, current conditions, and reasonable and supportable forecasts over the life of an asset. Financial assets may be evaluated individually or on a pooled basis when they share similar risk characteristics. The measurement of credit losses for available-for-sale debt securities measured at fair value is not affected except that credit losses recognized are limited to the amount by which fair value is below amortized cost and the carrying value adjustment is recognized through a valuation allowance which may change over time but once recorded cannot subsequently be reduced to an amount below zero. The guidance is effective for reporting periods beginning after December 15, 2019, and for most affected instruments must be adopted using a modified retrospective approach, with a cumulative effect adjustment recorded to beginning retained income. The impact of adoption is not expected to be material to the Company’s results of operations or financial position.</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1666AF"/>
        </w:rPr>
        <w:t>Changes to the Disclosure Requirements for Defined Benefit Plans</w:t>
      </w:r>
    </w:p>
    <w:p>
      <w:pPr>
        <w:spacing w:after="0" w:line="129" w:lineRule="exact"/>
        <w:rPr>
          <w:sz w:val="20"/>
          <w:szCs w:val="20"/>
          <w:color w:val="auto"/>
        </w:rPr>
      </w:pPr>
    </w:p>
    <w:p>
      <w:pPr>
        <w:ind w:right="100" w:firstLine="324"/>
        <w:spacing w:after="0" w:line="247" w:lineRule="auto"/>
        <w:rPr>
          <w:sz w:val="20"/>
          <w:szCs w:val="20"/>
          <w:color w:val="auto"/>
        </w:rPr>
      </w:pPr>
      <w:r>
        <w:rPr>
          <w:rFonts w:ascii="Arial" w:cs="Arial" w:eastAsia="Arial" w:hAnsi="Arial"/>
          <w:sz w:val="16"/>
          <w:szCs w:val="16"/>
          <w:color w:val="auto"/>
        </w:rPr>
        <w:t>In August 2018, the FASB issued amendments to modify certain disclosure requirements for defined benefit plans. Disclosure additions relate to the weighted-average interest crediting rates for cash balance plans and other plans with interest crediting rates and explanations for significant gains and losses related to changes in the benefit obligation for the period. Disclosures to be removed include those that identify amounts that are expected to be reclassified out of AOCI and into the income statement in the coming year and the anticipated impact of a one-percentage point change in assumed health care cost trend rate on service and interest cost and on the accumulated benefit obligation. The amendments are effective for annual reporting periods beginning after December 15, 2020. The impacts of adoption are to the Company’s disclosures only.</w:t>
      </w:r>
    </w:p>
    <w:p>
      <w:pPr>
        <w:spacing w:after="0" w:line="88" w:lineRule="exact"/>
        <w:rPr>
          <w:sz w:val="20"/>
          <w:szCs w:val="20"/>
          <w:color w:val="auto"/>
        </w:rPr>
      </w:pPr>
    </w:p>
    <w:p>
      <w:pPr>
        <w:ind w:left="320"/>
        <w:spacing w:after="0"/>
        <w:rPr>
          <w:sz w:val="20"/>
          <w:szCs w:val="20"/>
          <w:color w:val="auto"/>
        </w:rPr>
      </w:pPr>
      <w:r>
        <w:rPr>
          <w:rFonts w:ascii="Arial" w:cs="Arial" w:eastAsia="Arial" w:hAnsi="Arial"/>
          <w:sz w:val="16"/>
          <w:szCs w:val="16"/>
          <w:i w:val="1"/>
          <w:iCs w:val="1"/>
          <w:color w:val="1666AF"/>
        </w:rPr>
        <w:t>Accounting for Long-Duration Insurance Contracts</w:t>
      </w:r>
    </w:p>
    <w:p>
      <w:pPr>
        <w:spacing w:after="0" w:line="129" w:lineRule="exact"/>
        <w:rPr>
          <w:sz w:val="20"/>
          <w:szCs w:val="20"/>
          <w:color w:val="auto"/>
        </w:rPr>
      </w:pPr>
    </w:p>
    <w:p>
      <w:pPr>
        <w:ind w:right="140" w:firstLine="324"/>
        <w:spacing w:after="0" w:line="250" w:lineRule="auto"/>
        <w:rPr>
          <w:sz w:val="20"/>
          <w:szCs w:val="20"/>
          <w:color w:val="auto"/>
        </w:rPr>
      </w:pPr>
      <w:r>
        <w:rPr>
          <w:rFonts w:ascii="Arial" w:cs="Arial" w:eastAsia="Arial" w:hAnsi="Arial"/>
          <w:sz w:val="16"/>
          <w:szCs w:val="16"/>
          <w:color w:val="auto"/>
        </w:rPr>
        <w:t>In August 2018, the FASB issued guidance revising the accounting for certain long-duration insurance contracts. The new guidance changes the measurement of the Company’s reserves for traditional life, life-contingent immediate annuities and certain voluntary accident and health insurance products.</w:t>
      </w:r>
    </w:p>
    <w:p>
      <w:pPr>
        <w:spacing w:after="0" w:line="95" w:lineRule="exact"/>
        <w:rPr>
          <w:sz w:val="20"/>
          <w:szCs w:val="20"/>
          <w:color w:val="auto"/>
        </w:rPr>
      </w:pPr>
    </w:p>
    <w:p>
      <w:pPr>
        <w:ind w:right="140" w:firstLine="324"/>
        <w:spacing w:after="0" w:line="248" w:lineRule="auto"/>
        <w:rPr>
          <w:sz w:val="20"/>
          <w:szCs w:val="20"/>
          <w:color w:val="auto"/>
        </w:rPr>
      </w:pPr>
      <w:r>
        <w:rPr>
          <w:rFonts w:ascii="Arial" w:cs="Arial" w:eastAsia="Arial" w:hAnsi="Arial"/>
          <w:sz w:val="16"/>
          <w:szCs w:val="16"/>
          <w:color w:val="auto"/>
        </w:rPr>
        <w:t>Under the new guidance, measurement assumptions, including those for mortality, morbidity and policy terminations, will be required to be reviewed and updated at least annually. The effect of updating measurement assumptions other than the discount rate are required to be measured on a retrospective basis and reported in net income. In addition, cash flows under the new guidance are required to be discounted using an upper-medium grade fixed income instrument yield required to be updated through OCI at each reporting date. These changes will replace current GAAP, which utilizes assumptions set at policy issuance until such time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7</w:t>
      </w:r>
    </w:p>
    <w:p>
      <w:pPr>
        <w:sectPr>
          <w:pgSz w:w="11900" w:h="16838" w:orient="portrait"/>
          <w:cols w:equalWidth="0" w:num="2">
            <w:col w:w="5460" w:space="480"/>
            <w:col w:w="5480"/>
          </w:cols>
          <w:pgMar w:left="240" w:top="141" w:right="2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assumptions result in reserves that are deficient when compared to reserves computed using current assumptions. Under current GAAP, premium deficiency reserves are recognized when a reserve deficiency is computed using current assumptions.</w:t>
      </w:r>
    </w:p>
    <w:p>
      <w:pPr>
        <w:spacing w:after="0" w:line="95" w:lineRule="exact"/>
        <w:rPr>
          <w:sz w:val="20"/>
          <w:szCs w:val="20"/>
          <w:color w:val="auto"/>
        </w:rPr>
      </w:pPr>
    </w:p>
    <w:p>
      <w:pPr>
        <w:ind w:right="40" w:firstLine="324"/>
        <w:spacing w:after="0" w:line="248" w:lineRule="auto"/>
        <w:rPr>
          <w:sz w:val="20"/>
          <w:szCs w:val="20"/>
          <w:color w:val="auto"/>
        </w:rPr>
      </w:pPr>
      <w:r>
        <w:rPr>
          <w:rFonts w:ascii="Arial" w:cs="Arial" w:eastAsia="Arial" w:hAnsi="Arial"/>
          <w:sz w:val="16"/>
          <w:szCs w:val="16"/>
          <w:color w:val="auto"/>
        </w:rPr>
        <w:t>The new guidance requires deferred policy acquisition costs (“DAC”) and other capitalized balances currently amortized in proportion to premiums or gross profits to be amortized on a constant level basis over the expected term for all long-duration insurance contracts. DAC will not be subject to loss recognition testing but will be reduced when actual experience exceeds expected experience. The new guidance will no longer require adjustments to DAC and deferred sales inducement costs (“DSI”) related to unrealized gains and losses on investment securities supporting the related business.</w:t>
      </w:r>
    </w:p>
    <w:p>
      <w:pPr>
        <w:spacing w:after="0" w:line="289"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Market risk benefit product features are required to be measured at fair value with changes in fair value recorded in net income with the exception of changes in the fair value attributable to changes in the reporting entity’s own credit risk, which are required to be recognized in OCI. Substantially all of the Company’s market risk benefits are reinsured and therefore these impacts are not expected to be material to the Company.</w:t>
      </w:r>
    </w:p>
    <w:p>
      <w:pPr>
        <w:spacing w:after="0" w:line="97" w:lineRule="exact"/>
        <w:rPr>
          <w:sz w:val="20"/>
          <w:szCs w:val="20"/>
          <w:color w:val="auto"/>
        </w:rPr>
      </w:pPr>
    </w:p>
    <w:p>
      <w:pPr>
        <w:ind w:right="60" w:firstLine="324"/>
        <w:spacing w:after="0" w:line="248" w:lineRule="auto"/>
        <w:rPr>
          <w:sz w:val="20"/>
          <w:szCs w:val="20"/>
          <w:color w:val="auto"/>
        </w:rPr>
      </w:pPr>
      <w:r>
        <w:rPr>
          <w:rFonts w:ascii="Arial" w:cs="Arial" w:eastAsia="Arial" w:hAnsi="Arial"/>
          <w:sz w:val="16"/>
          <w:szCs w:val="16"/>
          <w:color w:val="auto"/>
        </w:rPr>
        <w:t>The new guidance is to be included in the comparable financial statements issued in reporting periods beginning after December 15, 2020, thereby requiring restatement of prior periods presented. Early adoption is permitted. The new guidance will be applied to affected contracts and DAC on the basis of existing carrying amounts at the earliest period presented or retrospectively using actual historical experience as of contract inception. The new guidance for market risk benefits is required to be adopted retrospectively.</w:t>
      </w:r>
    </w:p>
    <w:p>
      <w:pPr>
        <w:spacing w:after="0" w:line="100"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The Company is evaluating the anticipated impacts of applying the new guidance to both retained income and AOCI. While the requirements of the new guidance represent a material change from existing GAAP, the underlying economics of the business and related cash flows are unchanged. The Company has not completed its evaluation of the specific impacts of adopting the new guidance, but anticipates the financial statement impact of migrating from existing GAAP to that required by the new guidance to be material, largely attributed to the impact of transitioning from an original investment-based discount rate to one based on an upper-medium grade fixed income investment yield and updates to mortality assumptions previously locked in at issuance and subject to premium deficiency testing. The Company expects the most significant impacts will occur in the run-off annuity segment. The revised accounting for DAC will be applied prospectively using the new model and any DAC effects existing in AOCI as a result of applying existing GAAP at the date of adoption will be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8 </w:t>
      </w:r>
      <w:r>
        <w:rPr>
          <w:sz w:val="1"/>
          <w:szCs w:val="1"/>
          <w:color w:val="auto"/>
        </w:rPr>
        <w:drawing>
          <wp:inline distT="0" distB="0" distL="0" distR="0">
            <wp:extent cx="111760" cy="1117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60" w:firstLine="324"/>
        <w:spacing w:after="0" w:line="281" w:lineRule="auto"/>
        <w:rPr>
          <w:sz w:val="20"/>
          <w:szCs w:val="20"/>
          <w:color w:val="auto"/>
        </w:rPr>
      </w:pPr>
      <w:r>
        <w:rPr>
          <w:rFonts w:ascii="Arial" w:cs="Arial" w:eastAsia="Arial" w:hAnsi="Arial"/>
          <w:sz w:val="16"/>
          <w:szCs w:val="16"/>
          <w:i w:val="1"/>
          <w:iCs w:val="1"/>
          <w:color w:val="1666AF"/>
        </w:rPr>
        <w:t>Codification Improvements related to Credit Losses, Derivatives and Hedging, and Financial Instruments</w:t>
      </w:r>
    </w:p>
    <w:p>
      <w:pPr>
        <w:spacing w:after="0" w:line="71" w:lineRule="exact"/>
        <w:rPr>
          <w:sz w:val="20"/>
          <w:szCs w:val="20"/>
          <w:color w:val="auto"/>
        </w:rPr>
      </w:pPr>
    </w:p>
    <w:p>
      <w:pPr>
        <w:ind w:right="200" w:firstLine="324"/>
        <w:spacing w:after="0" w:line="248" w:lineRule="auto"/>
        <w:rPr>
          <w:sz w:val="20"/>
          <w:szCs w:val="20"/>
          <w:color w:val="auto"/>
        </w:rPr>
      </w:pPr>
      <w:r>
        <w:rPr>
          <w:rFonts w:ascii="Arial" w:cs="Arial" w:eastAsia="Arial" w:hAnsi="Arial"/>
          <w:sz w:val="16"/>
          <w:szCs w:val="16"/>
          <w:color w:val="auto"/>
        </w:rPr>
        <w:t>In April 2019, the FASB issued Codification Improvements related to Credit Losses, Derivatives and Hedging, and Financial Instruments. The guidance for Credit Losses and Financial Instruments is effective for reporting periods beginning after December 15, 2019. The guidance for Derivatives and Hedging is effective January 1, 2020. The Company is in the process of evaluating the impact of adoption, which is not expected to be material to the Company’s results of operations or financial position.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Change in accounting principle</w:t>
      </w:r>
    </w:p>
    <w:p>
      <w:pPr>
        <w:spacing w:after="0" w:line="133"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The Company changed its accounting principle for recognizing actuarial gains and losses and expected return on plan assets for its pension and other postretirement plans to a more preferable policy under U.S. GAAP. Under the new principle, remeasurement of projected benefit obligation and plan assets are immediately recognized in earnings and are referred to as pension and other postretirement remeasurement gains and losses on the Condensed Consolidated Statements of Operations. Previously, actuarial gains and losses and differences between the expected and actual returns on plan assets were recognized as a component of AOCI, and were subject to amortization into earnings in future periods. This change has been applied on a retrospective basis. The Company’s policy is to remeasure its pension and postretirement plans on a quarterly basis.</w:t>
      </w:r>
    </w:p>
    <w:p>
      <w:pPr>
        <w:spacing w:after="0" w:line="105" w:lineRule="exact"/>
        <w:rPr>
          <w:sz w:val="20"/>
          <w:szCs w:val="20"/>
          <w:color w:val="auto"/>
        </w:rPr>
      </w:pPr>
    </w:p>
    <w:p>
      <w:pPr>
        <w:ind w:right="20" w:firstLine="324"/>
        <w:spacing w:after="0" w:line="248" w:lineRule="auto"/>
        <w:rPr>
          <w:sz w:val="20"/>
          <w:szCs w:val="20"/>
          <w:color w:val="auto"/>
        </w:rPr>
      </w:pPr>
      <w:r>
        <w:rPr>
          <w:rFonts w:ascii="Arial" w:cs="Arial" w:eastAsia="Arial" w:hAnsi="Arial"/>
          <w:sz w:val="16"/>
          <w:szCs w:val="16"/>
          <w:color w:val="auto"/>
        </w:rPr>
        <w:t>Differences between expected and actual returns and changes in assumptions affect our pension and other postretirement obligations, plan assets and expenses. The primary factors contributing to pension and other postretirement remeasurement gains and losses are 1) changes in the discount rate used to value pension and postretirement obligations as of the measurement date, 2) differences between the expected and the actual return on plan assets, 3) changes in demographic assumptions, including mortality, and 4) participant experience different from demographic assumptions.</w:t>
      </w:r>
    </w:p>
    <w:p>
      <w:pPr>
        <w:spacing w:after="0" w:line="99"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6"/>
          <w:szCs w:val="16"/>
          <w:color w:val="auto"/>
        </w:rPr>
        <w:t>The Company also changed its policy for recognizing expected returns on plan assets by eliminating the permitted accounting practice allowing the five-year smoothing of equity returns and moving to an unadjusted fair value method.</w:t>
      </w:r>
    </w:p>
    <w:p>
      <w:pPr>
        <w:spacing w:after="0" w:line="95"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The Company believes that immediately recognizing remeasurement of projected benefit obligation and plan assets in earnings is preferable as it provides greater transparency of the Company’s economic obligations in accounting results and better aligns with fair value accounting principles by recognizing the effects of economic and interest rate changes on pension and other postretirement plan assets and liabilities in the year in which the gains and losses are incurred. These changes have been applied on a retrospective basis and as of January 1, 2018 resulted in a cumulative effect decrease to retained income of $1.58 billion, with a corresponding offset to AOCI and had no impact on total shareholders’ equity.</w:t>
      </w:r>
    </w:p>
    <w:p>
      <w:pPr>
        <w:sectPr>
          <w:pgSz w:w="11900" w:h="16838" w:orient="portrait"/>
          <w:cols w:equalWidth="0" w:num="2">
            <w:col w:w="5480" w:space="460"/>
            <w:col w:w="5460"/>
          </w:cols>
          <w:pgMar w:left="240" w:top="141" w:right="259" w:bottom="1440" w:gutter="0" w:footer="0" w:header="0"/>
        </w:sectPr>
      </w:pPr>
    </w:p>
    <w:bookmarkStart w:id="10" w:name="page11"/>
    <w:bookmarkEnd w:id="10"/>
    <w:p>
      <w:pPr>
        <w:ind w:left="7400"/>
        <w:spacing w:after="0"/>
        <w:rPr>
          <w:sz w:val="20"/>
          <w:szCs w:val="20"/>
          <w:color w:val="auto"/>
        </w:rPr>
      </w:pPr>
      <w:r>
        <w:rPr>
          <w:rFonts w:ascii="Arial" w:cs="Arial" w:eastAsia="Arial" w:hAnsi="Arial"/>
          <w:sz w:val="16"/>
          <w:szCs w:val="16"/>
          <w:color w:val="1666AF"/>
        </w:rPr>
        <w:t>Notes to Condensed Consolidated Financial Statements</w:t>
      </w:r>
    </w:p>
    <w:p>
      <w:pPr>
        <w:sectPr>
          <w:pgSz w:w="11900" w:h="16838" w:orient="portrait"/>
          <w:cols w:equalWidth="0" w:num="1">
            <w:col w:w="11420"/>
          </w:cols>
          <w:pgMar w:left="240" w:top="141" w:right="239" w:bottom="390" w:gutter="0" w:footer="0" w:header="0"/>
        </w:sectPr>
      </w:pPr>
    </w:p>
    <w:p>
      <w:pPr>
        <w:spacing w:after="0" w:line="200" w:lineRule="exact"/>
        <w:rPr>
          <w:sz w:val="20"/>
          <w:szCs w:val="20"/>
          <w:color w:val="auto"/>
        </w:rPr>
      </w:pPr>
    </w:p>
    <w:p>
      <w:pPr>
        <w:spacing w:after="0" w:line="345"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Pension and other postretirement service cost, interest cost, expected return on plan assets and amortization of prior service credits are allocated to the Company’s reportable segments. The pension and other postretirement remeasurement gains and losses are now reported in the Corporate and Other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ind w:right="640" w:firstLine="324"/>
        <w:spacing w:after="0" w:line="260" w:lineRule="auto"/>
        <w:rPr>
          <w:sz w:val="20"/>
          <w:szCs w:val="20"/>
          <w:color w:val="auto"/>
        </w:rPr>
      </w:pPr>
      <w:r>
        <w:rPr>
          <w:rFonts w:ascii="Arial" w:cs="Arial" w:eastAsia="Arial" w:hAnsi="Arial"/>
          <w:sz w:val="16"/>
          <w:szCs w:val="16"/>
          <w:color w:val="auto"/>
        </w:rPr>
        <w:t>The impacts of the adjustments on the financial statements are summarized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500380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9" w:lineRule="exact"/>
        <w:rPr>
          <w:sz w:val="20"/>
          <w:szCs w:val="20"/>
          <w:color w:val="auto"/>
        </w:rPr>
      </w:pPr>
    </w:p>
    <w:p>
      <w:pPr>
        <w:sectPr>
          <w:pgSz w:w="11900" w:h="16838" w:orient="portrait"/>
          <w:cols w:equalWidth="0" w:num="2">
            <w:col w:w="5360" w:space="580"/>
            <w:col w:w="5480"/>
          </w:cols>
          <w:pgMar w:left="240" w:top="141" w:right="239" w:bottom="390" w:gutter="0" w:footer="0" w:header="0"/>
          <w:type w:val="continuous"/>
        </w:sectPr>
      </w:pPr>
    </w:p>
    <w:p>
      <w:pPr>
        <w:spacing w:after="0" w:line="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Previous</w:t>
            </w: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accounting</w:t>
            </w: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principle</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Impact of change</w:t>
            </w:r>
          </w:p>
        </w:tc>
        <w:tc>
          <w:tcPr>
            <w:tcW w:w="20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As reported</w:t>
            </w:r>
          </w:p>
        </w:tc>
      </w:tr>
      <w:tr>
        <w:trPr>
          <w:trHeight w:val="33"/>
        </w:trPr>
        <w:tc>
          <w:tcPr>
            <w:tcW w:w="7100" w:type="dxa"/>
            <w:vAlign w:val="bottom"/>
            <w:gridSpan w:val="2"/>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4100" w:type="dxa"/>
            <w:vAlign w:val="bottom"/>
            <w:tcBorders>
              <w:bottom w:val="single" w:sz="8" w:color="1666AF"/>
            </w:tcBorders>
            <w:gridSpan w:val="7"/>
          </w:tcPr>
          <w:p>
            <w:pPr>
              <w:spacing w:after="0"/>
              <w:rPr>
                <w:sz w:val="2"/>
                <w:szCs w:val="2"/>
                <w:color w:val="auto"/>
              </w:rPr>
            </w:pPr>
          </w:p>
        </w:tc>
      </w:tr>
      <w:tr>
        <w:trPr>
          <w:trHeight w:val="244"/>
        </w:trPr>
        <w:tc>
          <w:tcPr>
            <w:tcW w:w="69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 except per share data)</w:t>
            </w:r>
          </w:p>
        </w:tc>
        <w:tc>
          <w:tcPr>
            <w:tcW w:w="120" w:type="dxa"/>
            <w:vAlign w:val="bottom"/>
          </w:tcPr>
          <w:p>
            <w:pPr>
              <w:spacing w:after="0"/>
              <w:rPr>
                <w:sz w:val="21"/>
                <w:szCs w:val="21"/>
                <w:color w:val="auto"/>
              </w:rPr>
            </w:pPr>
          </w:p>
        </w:tc>
        <w:tc>
          <w:tcPr>
            <w:tcW w:w="220" w:type="dxa"/>
            <w:vAlign w:val="bottom"/>
            <w:tcBorders>
              <w:bottom w:val="single" w:sz="8" w:color="1666AF"/>
            </w:tcBorders>
          </w:tcPr>
          <w:p>
            <w:pPr>
              <w:spacing w:after="0"/>
              <w:rPr>
                <w:sz w:val="21"/>
                <w:szCs w:val="21"/>
                <w:color w:val="auto"/>
              </w:rPr>
            </w:pPr>
          </w:p>
        </w:tc>
        <w:tc>
          <w:tcPr>
            <w:tcW w:w="4100" w:type="dxa"/>
            <w:vAlign w:val="bottom"/>
            <w:tcBorders>
              <w:bottom w:val="single" w:sz="8" w:color="1666AF"/>
            </w:tcBorders>
            <w:gridSpan w:val="7"/>
          </w:tcPr>
          <w:p>
            <w:pPr>
              <w:jc w:val="center"/>
              <w:ind w:right="119"/>
              <w:spacing w:after="0"/>
              <w:rPr>
                <w:sz w:val="20"/>
                <w:szCs w:val="20"/>
                <w:color w:val="auto"/>
              </w:rPr>
            </w:pPr>
            <w:r>
              <w:rPr>
                <w:rFonts w:ascii="Arial" w:cs="Arial" w:eastAsia="Arial" w:hAnsi="Arial"/>
                <w:sz w:val="16"/>
                <w:szCs w:val="16"/>
                <w:b w:val="1"/>
                <w:bCs w:val="1"/>
                <w:color w:val="auto"/>
                <w:w w:val="92"/>
              </w:rPr>
              <w:t>Three months ended March 31, 2019</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Property and casualty insurance claims and claims expense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5,829</w:t>
            </w:r>
          </w:p>
        </w:tc>
        <w:tc>
          <w:tcPr>
            <w:tcW w:w="14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5,820</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Operating costs and expenses</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1,388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1,380</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Pension and other postretirement remeasurement gains and losses</w:t>
            </w: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Restructuring and related charges</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9,377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9,371</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Income from operations before income tax expense</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1,614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1,620</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327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328</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1,287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1,292</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1,256</w:t>
            </w:r>
          </w:p>
        </w:tc>
        <w:tc>
          <w:tcPr>
            <w:tcW w:w="14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1,261</w:t>
            </w:r>
          </w:p>
        </w:tc>
      </w:tr>
      <w:tr>
        <w:trPr>
          <w:trHeight w:val="33"/>
        </w:trPr>
        <w:tc>
          <w:tcPr>
            <w:tcW w:w="7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56"/>
        </w:trPr>
        <w:tc>
          <w:tcPr>
            <w:tcW w:w="6980" w:type="dxa"/>
            <w:vAlign w:val="bottom"/>
            <w:tcBorders>
              <w:top w:val="single" w:sz="8" w:color="1666AF"/>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1666AF"/>
              <w:bottom w:val="single" w:sz="8" w:color="ACACAC"/>
            </w:tcBorders>
          </w:tcPr>
          <w:p>
            <w:pPr>
              <w:spacing w:after="0"/>
              <w:rPr>
                <w:sz w:val="13"/>
                <w:szCs w:val="13"/>
                <w:color w:val="auto"/>
              </w:rPr>
            </w:pPr>
          </w:p>
        </w:tc>
        <w:tc>
          <w:tcPr>
            <w:tcW w:w="1160" w:type="dxa"/>
            <w:vAlign w:val="bottom"/>
            <w:tcBorders>
              <w:top w:val="single" w:sz="8" w:color="1666AF"/>
              <w:bottom w:val="single" w:sz="8" w:color="ACACAC"/>
            </w:tcBorders>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1666AF"/>
              <w:bottom w:val="single" w:sz="8" w:color="ACACAC"/>
            </w:tcBorders>
          </w:tcPr>
          <w:p>
            <w:pPr>
              <w:spacing w:after="0"/>
              <w:rPr>
                <w:sz w:val="13"/>
                <w:szCs w:val="13"/>
                <w:color w:val="auto"/>
              </w:rPr>
            </w:pPr>
          </w:p>
        </w:tc>
        <w:tc>
          <w:tcPr>
            <w:tcW w:w="820" w:type="dxa"/>
            <w:vAlign w:val="bottom"/>
            <w:tcBorders>
              <w:top w:val="single" w:sz="8" w:color="1666AF"/>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1666AF"/>
              <w:bottom w:val="single" w:sz="8" w:color="ACACAC"/>
            </w:tcBorders>
          </w:tcPr>
          <w:p>
            <w:pPr>
              <w:spacing w:after="0"/>
              <w:rPr>
                <w:sz w:val="13"/>
                <w:szCs w:val="13"/>
                <w:color w:val="auto"/>
              </w:rPr>
            </w:pPr>
          </w:p>
        </w:tc>
        <w:tc>
          <w:tcPr>
            <w:tcW w:w="1160" w:type="dxa"/>
            <w:vAlign w:val="bottom"/>
            <w:tcBorders>
              <w:top w:val="single" w:sz="8" w:color="1666AF"/>
              <w:bottom w:val="single" w:sz="8" w:color="ACACAC"/>
            </w:tcBorders>
          </w:tcPr>
          <w:p>
            <w:pPr>
              <w:spacing w:after="0"/>
              <w:rPr>
                <w:sz w:val="13"/>
                <w:szCs w:val="13"/>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 per common share:</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 applicable to common shareholders per common share - Basic</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3.78</w:t>
            </w:r>
          </w:p>
        </w:tc>
        <w:tc>
          <w:tcPr>
            <w:tcW w:w="14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3.79</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 applicable to common shareholders per common share - Diluted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3.72</w:t>
            </w:r>
          </w:p>
        </w:tc>
        <w:tc>
          <w:tcPr>
            <w:tcW w:w="14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3.74</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39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4253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5"/>
          <w:szCs w:val="15"/>
          <w:color w:val="auto"/>
        </w:rPr>
        <w:t>Property and casualty insurance claims and claims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44253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44253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Pension and other postretirement remeasurement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4253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Restructuring and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44253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2940"/>
        <w:spacing w:after="0"/>
        <w:rPr>
          <w:sz w:val="20"/>
          <w:szCs w:val="20"/>
          <w:color w:val="auto"/>
        </w:rPr>
      </w:pPr>
      <w:r>
        <w:rPr>
          <w:rFonts w:ascii="Arial" w:cs="Arial" w:eastAsia="Arial" w:hAnsi="Arial"/>
          <w:sz w:val="16"/>
          <w:szCs w:val="16"/>
          <w:b w:val="1"/>
          <w:bCs w:val="1"/>
          <w:color w:val="auto"/>
        </w:rPr>
        <w:t>Previously</w:t>
      </w:r>
    </w:p>
    <w:p>
      <w:pPr>
        <w:spacing w:after="0" w:line="26" w:lineRule="exact"/>
        <w:rPr>
          <w:sz w:val="20"/>
          <w:szCs w:val="20"/>
          <w:color w:val="auto"/>
        </w:rPr>
      </w:pPr>
    </w:p>
    <w:p>
      <w:pPr>
        <w:ind w:left="400"/>
        <w:spacing w:after="0"/>
        <w:tabs>
          <w:tab w:leader="none" w:pos="1560" w:val="left"/>
          <w:tab w:leader="none" w:pos="3220" w:val="left"/>
        </w:tabs>
        <w:rPr>
          <w:sz w:val="20"/>
          <w:szCs w:val="20"/>
          <w:color w:val="auto"/>
        </w:rPr>
      </w:pPr>
      <w:r>
        <w:rPr>
          <w:rFonts w:ascii="Arial" w:cs="Arial" w:eastAsia="Arial" w:hAnsi="Arial"/>
          <w:sz w:val="16"/>
          <w:szCs w:val="16"/>
          <w:b w:val="1"/>
          <w:bCs w:val="1"/>
          <w:color w:val="auto"/>
        </w:rPr>
        <w:t>reported</w:t>
      </w:r>
      <w:r>
        <w:rPr>
          <w:sz w:val="20"/>
          <w:szCs w:val="20"/>
          <w:color w:val="auto"/>
        </w:rPr>
        <w:tab/>
      </w:r>
      <w:r>
        <w:rPr>
          <w:rFonts w:ascii="Arial" w:cs="Arial" w:eastAsia="Arial" w:hAnsi="Arial"/>
          <w:sz w:val="16"/>
          <w:szCs w:val="16"/>
          <w:b w:val="1"/>
          <w:bCs w:val="1"/>
          <w:color w:val="auto"/>
        </w:rPr>
        <w:t>Impact of change</w:t>
      </w:r>
      <w:r>
        <w:rPr>
          <w:sz w:val="20"/>
          <w:szCs w:val="20"/>
          <w:color w:val="auto"/>
        </w:rPr>
        <w:tab/>
      </w:r>
      <w:r>
        <w:rPr>
          <w:rFonts w:ascii="Arial" w:cs="Arial" w:eastAsia="Arial" w:hAnsi="Arial"/>
          <w:sz w:val="14"/>
          <w:szCs w:val="14"/>
          <w:b w:val="1"/>
          <w:bCs w:val="1"/>
          <w:color w:val="auto"/>
        </w:rPr>
        <w:t>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wp:posOffset>
            </wp:positionV>
            <wp:extent cx="2744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wp:posOffset>
            </wp:positionV>
            <wp:extent cx="2744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5,149</w:t>
            </w:r>
          </w:p>
        </w:tc>
        <w:tc>
          <w:tcPr>
            <w:tcW w:w="14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5,129</w:t>
            </w:r>
          </w:p>
        </w:tc>
      </w:tr>
      <w:tr>
        <w:trPr>
          <w:trHeight w:val="33"/>
        </w:trPr>
        <w:tc>
          <w:tcPr>
            <w:tcW w:w="50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1,333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1,303</w:t>
            </w:r>
          </w:p>
        </w:tc>
      </w:tr>
      <w:tr>
        <w:trPr>
          <w:trHeight w:val="33"/>
        </w:trPr>
        <w:tc>
          <w:tcPr>
            <w:tcW w:w="50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50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20955</wp:posOffset>
            </wp:positionV>
            <wp:extent cx="2744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60" w:lineRule="exact"/>
        <w:rPr>
          <w:sz w:val="20"/>
          <w:szCs w:val="20"/>
          <w:color w:val="auto"/>
        </w:rPr>
      </w:pPr>
    </w:p>
    <w:p>
      <w:pPr>
        <w:sectPr>
          <w:pgSz w:w="11900" w:h="16838" w:orient="portrait"/>
          <w:cols w:equalWidth="0" w:num="2">
            <w:col w:w="6380" w:space="720"/>
            <w:col w:w="4320"/>
          </w:cols>
          <w:pgMar w:left="240" w:top="141" w:right="239" w:bottom="39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5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8,547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8,508</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Income from operations before income tax expense</w:t>
            </w:r>
          </w:p>
        </w:tc>
        <w:tc>
          <w:tcPr>
            <w:tcW w:w="5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1,224</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1,263</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5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5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975</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1,006</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50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946</w:t>
            </w:r>
          </w:p>
        </w:tc>
        <w:tc>
          <w:tcPr>
            <w:tcW w:w="14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977</w:t>
            </w:r>
          </w:p>
        </w:tc>
      </w:tr>
      <w:tr>
        <w:trPr>
          <w:trHeight w:val="33"/>
        </w:trPr>
        <w:tc>
          <w:tcPr>
            <w:tcW w:w="71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56"/>
        </w:trPr>
        <w:tc>
          <w:tcPr>
            <w:tcW w:w="6980" w:type="dxa"/>
            <w:vAlign w:val="bottom"/>
            <w:tcBorders>
              <w:top w:val="single" w:sz="8" w:color="1666AF"/>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1666AF"/>
              <w:bottom w:val="single" w:sz="8" w:color="ACACAC"/>
            </w:tcBorders>
          </w:tcPr>
          <w:p>
            <w:pPr>
              <w:spacing w:after="0"/>
              <w:rPr>
                <w:sz w:val="13"/>
                <w:szCs w:val="13"/>
                <w:color w:val="auto"/>
              </w:rPr>
            </w:pPr>
          </w:p>
        </w:tc>
        <w:tc>
          <w:tcPr>
            <w:tcW w:w="880" w:type="dxa"/>
            <w:vAlign w:val="bottom"/>
            <w:tcBorders>
              <w:top w:val="single" w:sz="8" w:color="1666AF"/>
              <w:bottom w:val="single" w:sz="8" w:color="ACACAC"/>
            </w:tcBorders>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1666AF"/>
              <w:bottom w:val="single" w:sz="8" w:color="ACACAC"/>
            </w:tcBorders>
          </w:tcPr>
          <w:p>
            <w:pPr>
              <w:spacing w:after="0"/>
              <w:rPr>
                <w:sz w:val="13"/>
                <w:szCs w:val="13"/>
                <w:color w:val="auto"/>
              </w:rPr>
            </w:pPr>
          </w:p>
        </w:tc>
        <w:tc>
          <w:tcPr>
            <w:tcW w:w="820" w:type="dxa"/>
            <w:vAlign w:val="bottom"/>
            <w:tcBorders>
              <w:top w:val="single" w:sz="8" w:color="1666AF"/>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Borders>
              <w:top w:val="single" w:sz="8" w:color="1666AF"/>
              <w:bottom w:val="single" w:sz="8" w:color="ACACAC"/>
            </w:tcBorders>
          </w:tcPr>
          <w:p>
            <w:pPr>
              <w:spacing w:after="0"/>
              <w:rPr>
                <w:sz w:val="13"/>
                <w:szCs w:val="13"/>
                <w:color w:val="auto"/>
              </w:rPr>
            </w:pPr>
          </w:p>
        </w:tc>
        <w:tc>
          <w:tcPr>
            <w:tcW w:w="860" w:type="dxa"/>
            <w:vAlign w:val="bottom"/>
            <w:tcBorders>
              <w:top w:val="single" w:sz="8" w:color="1666AF"/>
              <w:bottom w:val="single" w:sz="8" w:color="ACACAC"/>
            </w:tcBorders>
          </w:tcPr>
          <w:p>
            <w:pPr>
              <w:spacing w:after="0"/>
              <w:rPr>
                <w:sz w:val="13"/>
                <w:szCs w:val="13"/>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 per common share:</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 applicable to common shareholders per common share - Basic</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4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0.09</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2.76</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 applicable to common shareholders per common share - Diluted</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2.63</w:t>
            </w:r>
          </w:p>
        </w:tc>
        <w:tc>
          <w:tcPr>
            <w:tcW w:w="14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2.71</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39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42531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44253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Other comprehensive income (loss), 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44253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Previous</w:t>
            </w: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accounting</w:t>
            </w: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2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principle</w:t>
            </w:r>
          </w:p>
        </w:tc>
        <w:tc>
          <w:tcPr>
            <w:tcW w:w="1440" w:type="dxa"/>
            <w:vAlign w:val="bottom"/>
            <w:gridSpan w:val="3"/>
          </w:tcPr>
          <w:p>
            <w:pPr>
              <w:ind w:left="60"/>
              <w:spacing w:after="0"/>
              <w:rPr>
                <w:sz w:val="20"/>
                <w:szCs w:val="20"/>
                <w:color w:val="auto"/>
              </w:rPr>
            </w:pPr>
            <w:r>
              <w:rPr>
                <w:rFonts w:ascii="Arial" w:cs="Arial" w:eastAsia="Arial" w:hAnsi="Arial"/>
                <w:sz w:val="16"/>
                <w:szCs w:val="16"/>
                <w:b w:val="1"/>
                <w:bCs w:val="1"/>
                <w:color w:val="auto"/>
              </w:rPr>
              <w:t>Impact of change</w:t>
            </w:r>
          </w:p>
        </w:tc>
        <w:tc>
          <w:tcPr>
            <w:tcW w:w="20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As reported</w:t>
            </w:r>
          </w:p>
        </w:tc>
      </w:tr>
      <w:tr>
        <w:trPr>
          <w:trHeight w:val="33"/>
        </w:trPr>
        <w:tc>
          <w:tcPr>
            <w:tcW w:w="220" w:type="dxa"/>
            <w:vAlign w:val="bottom"/>
            <w:tcBorders>
              <w:bottom w:val="single" w:sz="8" w:color="1666AF"/>
            </w:tcBorders>
          </w:tcPr>
          <w:p>
            <w:pPr>
              <w:spacing w:after="0"/>
              <w:rPr>
                <w:sz w:val="2"/>
                <w:szCs w:val="2"/>
                <w:color w:val="auto"/>
              </w:rPr>
            </w:pPr>
          </w:p>
        </w:tc>
        <w:tc>
          <w:tcPr>
            <w:tcW w:w="4100" w:type="dxa"/>
            <w:vAlign w:val="bottom"/>
            <w:tcBorders>
              <w:bottom w:val="single" w:sz="8" w:color="1666AF"/>
            </w:tcBorders>
            <w:gridSpan w:val="7"/>
          </w:tcPr>
          <w:p>
            <w:pPr>
              <w:spacing w:after="0"/>
              <w:rPr>
                <w:sz w:val="2"/>
                <w:szCs w:val="2"/>
                <w:color w:val="auto"/>
              </w:rPr>
            </w:pPr>
          </w:p>
        </w:tc>
      </w:tr>
      <w:tr>
        <w:trPr>
          <w:trHeight w:val="217"/>
        </w:trPr>
        <w:tc>
          <w:tcPr>
            <w:tcW w:w="220" w:type="dxa"/>
            <w:vAlign w:val="bottom"/>
          </w:tcPr>
          <w:p>
            <w:pPr>
              <w:spacing w:after="0"/>
              <w:rPr>
                <w:sz w:val="18"/>
                <w:szCs w:val="18"/>
                <w:color w:val="auto"/>
              </w:rPr>
            </w:pPr>
          </w:p>
        </w:tc>
        <w:tc>
          <w:tcPr>
            <w:tcW w:w="4100" w:type="dxa"/>
            <w:vAlign w:val="bottom"/>
            <w:gridSpan w:val="7"/>
          </w:tcPr>
          <w:p>
            <w:pPr>
              <w:ind w:left="680"/>
              <w:spacing w:after="0"/>
              <w:rPr>
                <w:sz w:val="20"/>
                <w:szCs w:val="20"/>
                <w:color w:val="auto"/>
              </w:rPr>
            </w:pPr>
            <w:r>
              <w:rPr>
                <w:rFonts w:ascii="Arial" w:cs="Arial" w:eastAsia="Arial" w:hAnsi="Arial"/>
                <w:sz w:val="16"/>
                <w:szCs w:val="16"/>
                <w:b w:val="1"/>
                <w:bCs w:val="1"/>
                <w:color w:val="auto"/>
              </w:rPr>
              <w:t>Three months ended March 31, 2019</w:t>
            </w:r>
          </w:p>
        </w:tc>
      </w:tr>
      <w:tr>
        <w:trPr>
          <w:trHeight w:val="33"/>
        </w:trPr>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62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31"/>
        </w:trPr>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ind w:left="680"/>
              <w:spacing w:after="0"/>
              <w:rPr>
                <w:sz w:val="20"/>
                <w:szCs w:val="20"/>
                <w:color w:val="auto"/>
              </w:rPr>
            </w:pPr>
            <w:r>
              <w:rPr>
                <w:rFonts w:ascii="Arial" w:cs="Arial" w:eastAsia="Arial" w:hAnsi="Arial"/>
                <w:sz w:val="16"/>
                <w:szCs w:val="16"/>
                <w:b w:val="1"/>
                <w:bCs w:val="1"/>
                <w:color w:val="auto"/>
              </w:rPr>
              <w:t>1,287</w:t>
            </w:r>
          </w:p>
        </w:tc>
        <w:tc>
          <w:tcPr>
            <w:tcW w:w="14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1,292</w:t>
            </w:r>
          </w:p>
        </w:tc>
      </w:tr>
      <w:tr>
        <w:trPr>
          <w:trHeight w:val="33"/>
        </w:trPr>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2744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314" w:lineRule="exact"/>
        <w:rPr>
          <w:sz w:val="20"/>
          <w:szCs w:val="20"/>
          <w:color w:val="auto"/>
        </w:rPr>
      </w:pPr>
    </w:p>
    <w:p>
      <w:pPr>
        <w:sectPr>
          <w:pgSz w:w="11900" w:h="16838" w:orient="portrait"/>
          <w:cols w:equalWidth="0" w:num="2">
            <w:col w:w="6380" w:space="720"/>
            <w:col w:w="4320"/>
          </w:cols>
          <w:pgMar w:left="240" w:top="141" w:right="239" w:bottom="39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Changes in:</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180"/>
              <w:spacing w:after="0"/>
              <w:rPr>
                <w:sz w:val="20"/>
                <w:szCs w:val="20"/>
                <w:color w:val="auto"/>
              </w:rPr>
            </w:pPr>
            <w:r>
              <w:rPr>
                <w:rFonts w:ascii="Arial" w:cs="Arial" w:eastAsia="Arial" w:hAnsi="Arial"/>
                <w:sz w:val="16"/>
                <w:szCs w:val="16"/>
                <w:color w:val="auto"/>
              </w:rPr>
              <w:t>Unrealized net capital gains and losses</w:t>
            </w:r>
          </w:p>
        </w:tc>
        <w:tc>
          <w:tcPr>
            <w:tcW w:w="5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974</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974</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180"/>
              <w:spacing w:after="0"/>
              <w:rPr>
                <w:sz w:val="20"/>
                <w:szCs w:val="20"/>
                <w:color w:val="auto"/>
              </w:rPr>
            </w:pPr>
            <w:r>
              <w:rPr>
                <w:rFonts w:ascii="Arial" w:cs="Arial" w:eastAsia="Arial" w:hAnsi="Arial"/>
                <w:sz w:val="16"/>
                <w:szCs w:val="16"/>
                <w:color w:val="auto"/>
              </w:rPr>
              <w:t>Unrealized foreign currency translation adjustments</w:t>
            </w:r>
          </w:p>
        </w:tc>
        <w:tc>
          <w:tcPr>
            <w:tcW w:w="5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50"/>
        </w:trPr>
        <w:tc>
          <w:tcPr>
            <w:tcW w:w="6980" w:type="dxa"/>
            <w:vAlign w:val="bottom"/>
            <w:tcBorders>
              <w:bottom w:val="single" w:sz="8" w:color="005BA5"/>
            </w:tcBorders>
          </w:tcPr>
          <w:p>
            <w:pPr>
              <w:ind w:left="180"/>
              <w:spacing w:after="0" w:line="250" w:lineRule="exact"/>
              <w:rPr>
                <w:sz w:val="20"/>
                <w:szCs w:val="20"/>
                <w:color w:val="auto"/>
              </w:rPr>
            </w:pPr>
            <w:r>
              <w:rPr>
                <w:rFonts w:ascii="Arial" w:cs="Arial" w:eastAsia="Arial" w:hAnsi="Arial"/>
                <w:sz w:val="16"/>
                <w:szCs w:val="16"/>
                <w:color w:val="auto"/>
              </w:rPr>
              <w:t xml:space="preserve">Unrecognized pension and other postretirement benefit cost </w:t>
            </w:r>
            <w:r>
              <w:rPr>
                <w:rFonts w:ascii="Arial" w:cs="Arial" w:eastAsia="Arial" w:hAnsi="Arial"/>
                <w:sz w:val="23"/>
                <w:szCs w:val="23"/>
                <w:color w:val="005BA5"/>
                <w:vertAlign w:val="superscript"/>
              </w:rPr>
              <w:t>(1)</w:t>
            </w:r>
          </w:p>
        </w:tc>
        <w:tc>
          <w:tcPr>
            <w:tcW w:w="120" w:type="dxa"/>
            <w:vAlign w:val="bottom"/>
          </w:tcPr>
          <w:p>
            <w:pPr>
              <w:spacing w:after="0"/>
              <w:rPr>
                <w:sz w:val="21"/>
                <w:szCs w:val="21"/>
                <w:color w:val="auto"/>
              </w:rPr>
            </w:pPr>
          </w:p>
        </w:tc>
        <w:tc>
          <w:tcPr>
            <w:tcW w:w="500" w:type="dxa"/>
            <w:vAlign w:val="bottom"/>
            <w:tcBorders>
              <w:bottom w:val="single" w:sz="8" w:color="005BA5"/>
            </w:tcBorders>
          </w:tcPr>
          <w:p>
            <w:pPr>
              <w:spacing w:after="0"/>
              <w:rPr>
                <w:sz w:val="21"/>
                <w:szCs w:val="21"/>
                <w:color w:val="auto"/>
              </w:rPr>
            </w:pPr>
          </w:p>
        </w:tc>
        <w:tc>
          <w:tcPr>
            <w:tcW w:w="880" w:type="dxa"/>
            <w:vAlign w:val="bottom"/>
            <w:tcBorders>
              <w:bottom w:val="single" w:sz="8" w:color="005BA5"/>
            </w:tcBorders>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1"/>
                <w:szCs w:val="21"/>
                <w:color w:val="auto"/>
              </w:rPr>
            </w:pPr>
          </w:p>
        </w:tc>
        <w:tc>
          <w:tcPr>
            <w:tcW w:w="560" w:type="dxa"/>
            <w:vAlign w:val="bottom"/>
            <w:tcBorders>
              <w:bottom w:val="single" w:sz="8" w:color="005BA5"/>
            </w:tcBorders>
          </w:tcPr>
          <w:p>
            <w:pPr>
              <w:spacing w:after="0"/>
              <w:rPr>
                <w:sz w:val="21"/>
                <w:szCs w:val="21"/>
                <w:color w:val="auto"/>
              </w:rPr>
            </w:pPr>
          </w:p>
        </w:tc>
        <w:tc>
          <w:tcPr>
            <w:tcW w:w="78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500" w:type="dxa"/>
            <w:vAlign w:val="bottom"/>
            <w:tcBorders>
              <w:bottom w:val="single" w:sz="8" w:color="005BA5"/>
            </w:tcBorders>
          </w:tcPr>
          <w:p>
            <w:pPr>
              <w:spacing w:after="0"/>
              <w:rPr>
                <w:sz w:val="21"/>
                <w:szCs w:val="21"/>
                <w:color w:val="auto"/>
              </w:rPr>
            </w:pPr>
          </w:p>
        </w:tc>
        <w:tc>
          <w:tcPr>
            <w:tcW w:w="86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comprehensive income (loss), after-tax</w:t>
            </w:r>
          </w:p>
        </w:tc>
        <w:tc>
          <w:tcPr>
            <w:tcW w:w="50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991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967</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50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2,278</w:t>
            </w:r>
          </w:p>
        </w:tc>
        <w:tc>
          <w:tcPr>
            <w:tcW w:w="14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2,259</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bl>
    <w:p>
      <w:pPr>
        <w:spacing w:after="0" w:line="55" w:lineRule="exact"/>
        <w:rPr>
          <w:sz w:val="20"/>
          <w:szCs w:val="20"/>
          <w:color w:val="auto"/>
        </w:rPr>
      </w:pPr>
    </w:p>
    <w:p>
      <w:pPr>
        <w:ind w:left="260" w:hanging="171"/>
        <w:spacing w:after="0"/>
        <w:tabs>
          <w:tab w:leader="none" w:pos="260" w:val="left"/>
        </w:tabs>
        <w:numPr>
          <w:ilvl w:val="0"/>
          <w:numId w:val="3"/>
        </w:numPr>
        <w:rPr>
          <w:rFonts w:ascii="Arial" w:cs="Arial" w:eastAsia="Arial" w:hAnsi="Arial"/>
          <w:sz w:val="20"/>
          <w:szCs w:val="20"/>
          <w:color w:val="005BA5"/>
          <w:vertAlign w:val="superscript"/>
        </w:rPr>
      </w:pPr>
      <w:r>
        <w:rPr>
          <w:rFonts w:ascii="Arial" w:cs="Arial" w:eastAsia="Arial" w:hAnsi="Arial"/>
          <w:sz w:val="12"/>
          <w:szCs w:val="12"/>
          <w:color w:val="auto"/>
        </w:rPr>
        <w:t>Financial statement line item has been updated to “Unamortized pension and other postretirement prior service credit”.</w:t>
      </w:r>
    </w:p>
    <w:p>
      <w:pPr>
        <w:sectPr>
          <w:pgSz w:w="11900" w:h="16838" w:orient="portrait"/>
          <w:cols w:equalWidth="0" w:num="1">
            <w:col w:w="11420"/>
          </w:cols>
          <w:pgMar w:left="240" w:top="141" w:right="239" w:bottom="390" w:gutter="0" w:footer="0" w:header="0"/>
          <w:type w:val="continuous"/>
        </w:sectPr>
      </w:pPr>
    </w:p>
    <w:p>
      <w:pPr>
        <w:spacing w:after="0" w:line="338" w:lineRule="exact"/>
        <w:rPr>
          <w:sz w:val="20"/>
          <w:szCs w:val="20"/>
          <w:color w:val="auto"/>
        </w:rPr>
      </w:pPr>
    </w:p>
    <w:p>
      <w:pPr>
        <w:ind w:left="914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9</w:t>
      </w:r>
    </w:p>
    <w:p>
      <w:pPr>
        <w:sectPr>
          <w:pgSz w:w="11900" w:h="16838" w:orient="portrait"/>
          <w:cols w:equalWidth="0" w:num="1">
            <w:col w:w="11420"/>
          </w:cols>
          <w:pgMar w:left="240" w:top="141" w:right="239" w:bottom="39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Previously</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reported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Impact of change</w:t>
            </w:r>
          </w:p>
        </w:tc>
        <w:tc>
          <w:tcPr>
            <w:tcW w:w="20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As adjusted</w:t>
            </w:r>
          </w:p>
        </w:tc>
      </w:tr>
      <w:tr>
        <w:trPr>
          <w:trHeight w:val="33"/>
        </w:trPr>
        <w:tc>
          <w:tcPr>
            <w:tcW w:w="7100" w:type="dxa"/>
            <w:vAlign w:val="bottom"/>
            <w:gridSpan w:val="2"/>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4100" w:type="dxa"/>
            <w:vAlign w:val="bottom"/>
            <w:tcBorders>
              <w:bottom w:val="single" w:sz="8" w:color="1666AF"/>
            </w:tcBorders>
            <w:gridSpan w:val="7"/>
          </w:tcPr>
          <w:p>
            <w:pPr>
              <w:spacing w:after="0"/>
              <w:rPr>
                <w:sz w:val="2"/>
                <w:szCs w:val="2"/>
                <w:color w:val="auto"/>
              </w:rPr>
            </w:pPr>
          </w:p>
        </w:tc>
      </w:tr>
      <w:tr>
        <w:trPr>
          <w:trHeight w:val="244"/>
        </w:trPr>
        <w:tc>
          <w:tcPr>
            <w:tcW w:w="69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4100" w:type="dxa"/>
            <w:vAlign w:val="bottom"/>
            <w:tcBorders>
              <w:bottom w:val="single" w:sz="8" w:color="005BA5"/>
            </w:tcBorders>
            <w:gridSpan w:val="7"/>
          </w:tcPr>
          <w:p>
            <w:pPr>
              <w:jc w:val="center"/>
              <w:ind w:right="119"/>
              <w:spacing w:after="0"/>
              <w:rPr>
                <w:sz w:val="20"/>
                <w:szCs w:val="20"/>
                <w:color w:val="auto"/>
              </w:rPr>
            </w:pPr>
            <w:r>
              <w:rPr>
                <w:rFonts w:ascii="Arial" w:cs="Arial" w:eastAsia="Arial" w:hAnsi="Arial"/>
                <w:sz w:val="16"/>
                <w:szCs w:val="16"/>
                <w:b w:val="1"/>
                <w:bCs w:val="1"/>
                <w:color w:val="auto"/>
                <w:w w:val="92"/>
              </w:rPr>
              <w:t>Three months ended March 31, 2018</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975</w:t>
            </w:r>
          </w:p>
        </w:tc>
        <w:tc>
          <w:tcPr>
            <w:tcW w:w="14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1,006</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comprehensive loss, after-tax</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Changes in:</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180"/>
              <w:spacing w:after="0"/>
              <w:rPr>
                <w:sz w:val="20"/>
                <w:szCs w:val="20"/>
                <w:color w:val="auto"/>
              </w:rPr>
            </w:pPr>
            <w:r>
              <w:rPr>
                <w:rFonts w:ascii="Arial" w:cs="Arial" w:eastAsia="Arial" w:hAnsi="Arial"/>
                <w:sz w:val="16"/>
                <w:szCs w:val="16"/>
                <w:color w:val="auto"/>
              </w:rPr>
              <w:t>Unrealized net capital gains and losses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180"/>
              <w:spacing w:after="0"/>
              <w:rPr>
                <w:sz w:val="20"/>
                <w:szCs w:val="20"/>
                <w:color w:val="auto"/>
              </w:rPr>
            </w:pPr>
            <w:r>
              <w:rPr>
                <w:rFonts w:ascii="Arial" w:cs="Arial" w:eastAsia="Arial" w:hAnsi="Arial"/>
                <w:sz w:val="16"/>
                <w:szCs w:val="16"/>
                <w:color w:val="auto"/>
              </w:rPr>
              <w:t>Unrealized foreign currency translation adjustments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180"/>
              <w:spacing w:after="0"/>
              <w:rPr>
                <w:sz w:val="20"/>
                <w:szCs w:val="20"/>
                <w:color w:val="auto"/>
              </w:rPr>
            </w:pPr>
            <w:r>
              <w:rPr>
                <w:rFonts w:ascii="Arial" w:cs="Arial" w:eastAsia="Arial" w:hAnsi="Arial"/>
                <w:sz w:val="16"/>
                <w:szCs w:val="16"/>
                <w:color w:val="auto"/>
              </w:rPr>
              <w:t>Unrecognized pension and other postretirement benefit cost</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comprehensive loss, after-tax</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(581)</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429</w:t>
            </w:r>
          </w:p>
        </w:tc>
        <w:tc>
          <w:tcPr>
            <w:tcW w:w="1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425</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183"/>
        </w:trPr>
        <w:tc>
          <w:tcPr>
            <w:tcW w:w="7100" w:type="dxa"/>
            <w:vAlign w:val="bottom"/>
            <w:tcBorders>
              <w:bottom w:val="single" w:sz="8" w:color="auto"/>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230"/>
        </w:trPr>
        <w:tc>
          <w:tcPr>
            <w:tcW w:w="7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Condensed Consolidated Statements of Financial Position (unaudited)</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Previous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accounting</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principle</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Impact of change</w:t>
            </w:r>
          </w:p>
        </w:tc>
        <w:tc>
          <w:tcPr>
            <w:tcW w:w="20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As reported</w:t>
            </w:r>
          </w:p>
        </w:tc>
      </w:tr>
      <w:tr>
        <w:trPr>
          <w:trHeight w:val="33"/>
        </w:trPr>
        <w:tc>
          <w:tcPr>
            <w:tcW w:w="7100" w:type="dxa"/>
            <w:vAlign w:val="bottom"/>
            <w:gridSpan w:val="2"/>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c>
          <w:tcPr>
            <w:tcW w:w="140" w:type="dxa"/>
            <w:vAlign w:val="bottom"/>
            <w:tcBorders>
              <w:bottom w:val="single" w:sz="8" w:color="1666AF"/>
            </w:tcBorders>
          </w:tcPr>
          <w:p>
            <w:pPr>
              <w:spacing w:after="0"/>
              <w:rPr>
                <w:sz w:val="2"/>
                <w:szCs w:val="2"/>
                <w:color w:val="auto"/>
              </w:rPr>
            </w:pPr>
          </w:p>
        </w:tc>
        <w:tc>
          <w:tcPr>
            <w:tcW w:w="100" w:type="dxa"/>
            <w:vAlign w:val="bottom"/>
            <w:tcBorders>
              <w:bottom w:val="single" w:sz="8" w:color="1666AF"/>
            </w:tcBorders>
          </w:tcPr>
          <w:p>
            <w:pPr>
              <w:spacing w:after="0"/>
              <w:rPr>
                <w:sz w:val="2"/>
                <w:szCs w:val="2"/>
                <w:color w:val="auto"/>
              </w:rPr>
            </w:pPr>
          </w:p>
        </w:tc>
        <w:tc>
          <w:tcPr>
            <w:tcW w:w="1340" w:type="dxa"/>
            <w:vAlign w:val="bottom"/>
            <w:tcBorders>
              <w:bottom w:val="single" w:sz="8" w:color="1666AF"/>
            </w:tcBorders>
            <w:gridSpan w:val="2"/>
          </w:tcPr>
          <w:p>
            <w:pPr>
              <w:spacing w:after="0"/>
              <w:rPr>
                <w:sz w:val="2"/>
                <w:szCs w:val="2"/>
                <w:color w:val="auto"/>
              </w:rPr>
            </w:pPr>
          </w:p>
        </w:tc>
        <w:tc>
          <w:tcPr>
            <w:tcW w:w="20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r>
      <w:tr>
        <w:trPr>
          <w:trHeight w:val="244"/>
        </w:trPr>
        <w:tc>
          <w:tcPr>
            <w:tcW w:w="69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1160" w:type="dxa"/>
            <w:vAlign w:val="bottom"/>
            <w:tcBorders>
              <w:bottom w:val="single" w:sz="8" w:color="005BA5"/>
            </w:tcBorders>
          </w:tcPr>
          <w:p>
            <w:pPr>
              <w:spacing w:after="0"/>
              <w:rPr>
                <w:sz w:val="21"/>
                <w:szCs w:val="21"/>
                <w:color w:val="auto"/>
              </w:rPr>
            </w:pPr>
          </w:p>
        </w:tc>
        <w:tc>
          <w:tcPr>
            <w:tcW w:w="140" w:type="dxa"/>
            <w:vAlign w:val="bottom"/>
            <w:tcBorders>
              <w:bottom w:val="single" w:sz="8" w:color="005BA5"/>
            </w:tcBorders>
          </w:tcPr>
          <w:p>
            <w:pPr>
              <w:spacing w:after="0"/>
              <w:rPr>
                <w:sz w:val="21"/>
                <w:szCs w:val="21"/>
                <w:color w:val="auto"/>
              </w:rPr>
            </w:pPr>
          </w:p>
        </w:tc>
        <w:tc>
          <w:tcPr>
            <w:tcW w:w="100" w:type="dxa"/>
            <w:vAlign w:val="bottom"/>
            <w:tcBorders>
              <w:bottom w:val="single" w:sz="8" w:color="005BA5"/>
            </w:tcBorders>
          </w:tcPr>
          <w:p>
            <w:pPr>
              <w:spacing w:after="0"/>
              <w:rPr>
                <w:sz w:val="21"/>
                <w:szCs w:val="21"/>
                <w:color w:val="auto"/>
              </w:rPr>
            </w:pPr>
          </w:p>
        </w:tc>
        <w:tc>
          <w:tcPr>
            <w:tcW w:w="1340" w:type="dxa"/>
            <w:vAlign w:val="bottom"/>
            <w:tcBorders>
              <w:bottom w:val="single" w:sz="8" w:color="005BA5"/>
            </w:tcBorders>
            <w:gridSpan w:val="2"/>
          </w:tcPr>
          <w:p>
            <w:pPr>
              <w:jc w:val="center"/>
              <w:ind w:right="240"/>
              <w:spacing w:after="0"/>
              <w:rPr>
                <w:sz w:val="20"/>
                <w:szCs w:val="20"/>
                <w:color w:val="auto"/>
              </w:rPr>
            </w:pPr>
            <w:r>
              <w:rPr>
                <w:rFonts w:ascii="Arial" w:cs="Arial" w:eastAsia="Arial" w:hAnsi="Arial"/>
                <w:sz w:val="16"/>
                <w:szCs w:val="16"/>
                <w:b w:val="1"/>
                <w:bCs w:val="1"/>
                <w:color w:val="auto"/>
                <w:w w:val="93"/>
              </w:rPr>
              <w:t>March 31, 2019</w:t>
            </w:r>
          </w:p>
        </w:tc>
        <w:tc>
          <w:tcPr>
            <w:tcW w:w="200" w:type="dxa"/>
            <w:vAlign w:val="bottom"/>
            <w:tcBorders>
              <w:bottom w:val="single" w:sz="8" w:color="005BA5"/>
            </w:tcBorders>
          </w:tcPr>
          <w:p>
            <w:pPr>
              <w:spacing w:after="0"/>
              <w:rPr>
                <w:sz w:val="21"/>
                <w:szCs w:val="21"/>
                <w:color w:val="auto"/>
              </w:rPr>
            </w:pPr>
          </w:p>
        </w:tc>
        <w:tc>
          <w:tcPr>
            <w:tcW w:w="1160" w:type="dxa"/>
            <w:vAlign w:val="bottom"/>
            <w:tcBorders>
              <w:bottom w:val="single" w:sz="8" w:color="005BA5"/>
            </w:tcBorders>
          </w:tcPr>
          <w:p>
            <w:pPr>
              <w:spacing w:after="0"/>
              <w:rPr>
                <w:sz w:val="21"/>
                <w:szCs w:val="2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822</w:t>
            </w:r>
          </w:p>
        </w:tc>
        <w:tc>
          <w:tcPr>
            <w:tcW w:w="14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817</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Other liabilities and accrued expenses</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8,953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8,977</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92,397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92,416</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40" w:type="dxa"/>
            <w:vAlign w:val="bottom"/>
            <w:tcBorders>
              <w:bottom w:val="single" w:sz="8" w:color="005BA5"/>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 income</w:t>
            </w:r>
          </w:p>
        </w:tc>
        <w:tc>
          <w:tcPr>
            <w:tcW w:w="2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46,818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45,148</w:t>
            </w:r>
          </w:p>
        </w:tc>
      </w:tr>
      <w:tr>
        <w:trPr>
          <w:trHeight w:val="33"/>
        </w:trPr>
        <w:tc>
          <w:tcPr>
            <w:tcW w:w="6980" w:type="dxa"/>
            <w:vAlign w:val="bottom"/>
            <w:tcBorders>
              <w:bottom w:val="single" w:sz="8" w:color="1666AF"/>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1666AF"/>
            </w:tcBorders>
          </w:tcPr>
          <w:p>
            <w:pPr>
              <w:spacing w:after="0"/>
              <w:rPr>
                <w:sz w:val="2"/>
                <w:szCs w:val="2"/>
                <w:color w:val="auto"/>
              </w:rPr>
            </w:pPr>
          </w:p>
        </w:tc>
        <w:tc>
          <w:tcPr>
            <w:tcW w:w="124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Unrealized foreign currency translation adjustments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50"/>
        </w:trPr>
        <w:tc>
          <w:tcPr>
            <w:tcW w:w="6980" w:type="dxa"/>
            <w:vAlign w:val="bottom"/>
            <w:tcBorders>
              <w:bottom w:val="single" w:sz="8" w:color="005BA5"/>
            </w:tcBorders>
          </w:tcPr>
          <w:p>
            <w:pPr>
              <w:ind w:left="40"/>
              <w:spacing w:after="0" w:line="250" w:lineRule="exact"/>
              <w:rPr>
                <w:sz w:val="20"/>
                <w:szCs w:val="20"/>
                <w:color w:val="auto"/>
              </w:rPr>
            </w:pPr>
            <w:r>
              <w:rPr>
                <w:rFonts w:ascii="Arial" w:cs="Arial" w:eastAsia="Arial" w:hAnsi="Arial"/>
                <w:sz w:val="16"/>
                <w:szCs w:val="16"/>
                <w:color w:val="auto"/>
              </w:rPr>
              <w:t xml:space="preserve">Unrecognized pension and other postretirement benefit cost </w:t>
            </w:r>
            <w:r>
              <w:rPr>
                <w:rFonts w:ascii="Arial" w:cs="Arial" w:eastAsia="Arial" w:hAnsi="Arial"/>
                <w:sz w:val="23"/>
                <w:szCs w:val="23"/>
                <w:color w:val="005BA5"/>
                <w:vertAlign w:val="superscript"/>
              </w:rPr>
              <w:t>(1)</w:t>
            </w:r>
          </w:p>
        </w:tc>
        <w:tc>
          <w:tcPr>
            <w:tcW w:w="120" w:type="dxa"/>
            <w:vAlign w:val="bottom"/>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116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(1,481)</w:t>
            </w:r>
          </w:p>
        </w:tc>
        <w:tc>
          <w:tcPr>
            <w:tcW w:w="140" w:type="dxa"/>
            <w:vAlign w:val="bottom"/>
          </w:tcPr>
          <w:p>
            <w:pPr>
              <w:spacing w:after="0"/>
              <w:rPr>
                <w:sz w:val="21"/>
                <w:szCs w:val="21"/>
                <w:color w:val="auto"/>
              </w:rPr>
            </w:pPr>
          </w:p>
        </w:tc>
        <w:tc>
          <w:tcPr>
            <w:tcW w:w="100" w:type="dxa"/>
            <w:vAlign w:val="bottom"/>
            <w:tcBorders>
              <w:bottom w:val="single" w:sz="8" w:color="005BA5"/>
            </w:tcBorders>
          </w:tcPr>
          <w:p>
            <w:pPr>
              <w:spacing w:after="0"/>
              <w:rPr>
                <w:sz w:val="21"/>
                <w:szCs w:val="21"/>
                <w:color w:val="auto"/>
              </w:rPr>
            </w:pPr>
          </w:p>
        </w:tc>
        <w:tc>
          <w:tcPr>
            <w:tcW w:w="124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1,638</w:t>
            </w:r>
          </w:p>
        </w:tc>
        <w:tc>
          <w:tcPr>
            <w:tcW w:w="100" w:type="dxa"/>
            <w:vAlign w:val="bottom"/>
          </w:tcPr>
          <w:p>
            <w:pPr>
              <w:spacing w:after="0"/>
              <w:rPr>
                <w:sz w:val="21"/>
                <w:szCs w:val="21"/>
                <w:color w:val="auto"/>
              </w:rPr>
            </w:pPr>
          </w:p>
        </w:tc>
        <w:tc>
          <w:tcPr>
            <w:tcW w:w="200" w:type="dxa"/>
            <w:vAlign w:val="bottom"/>
            <w:tcBorders>
              <w:bottom w:val="single" w:sz="8" w:color="005BA5"/>
            </w:tcBorders>
          </w:tcPr>
          <w:p>
            <w:pPr>
              <w:spacing w:after="0"/>
              <w:rPr>
                <w:sz w:val="21"/>
                <w:szCs w:val="21"/>
                <w:color w:val="auto"/>
              </w:rPr>
            </w:pPr>
          </w:p>
        </w:tc>
        <w:tc>
          <w:tcPr>
            <w:tcW w:w="116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157</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AOCI</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1,651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1,085</w:t>
            </w:r>
          </w:p>
        </w:tc>
      </w:tr>
      <w:tr>
        <w:trPr>
          <w:trHeight w:val="33"/>
        </w:trPr>
        <w:tc>
          <w:tcPr>
            <w:tcW w:w="6980" w:type="dxa"/>
            <w:vAlign w:val="bottom"/>
            <w:tcBorders>
              <w:bottom w:val="single" w:sz="8" w:color="1666AF"/>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1666AF"/>
            </w:tcBorders>
          </w:tcPr>
          <w:p>
            <w:pPr>
              <w:spacing w:after="0"/>
              <w:rPr>
                <w:sz w:val="2"/>
                <w:szCs w:val="2"/>
                <w:color w:val="auto"/>
              </w:rPr>
            </w:pPr>
          </w:p>
        </w:tc>
        <w:tc>
          <w:tcPr>
            <w:tcW w:w="124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23,437</w:t>
            </w:r>
          </w:p>
        </w:tc>
        <w:tc>
          <w:tcPr>
            <w:tcW w:w="1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23,418</w:t>
            </w:r>
          </w:p>
        </w:tc>
      </w:tr>
      <w:tr>
        <w:trPr>
          <w:trHeight w:val="33"/>
        </w:trPr>
        <w:tc>
          <w:tcPr>
            <w:tcW w:w="7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83"/>
        </w:trPr>
        <w:tc>
          <w:tcPr>
            <w:tcW w:w="6980" w:type="dxa"/>
            <w:vAlign w:val="bottom"/>
            <w:tcBorders>
              <w:top w:val="single" w:sz="8" w:color="1666AF"/>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top w:val="single" w:sz="8" w:color="1666AF"/>
              <w:bottom w:val="single" w:sz="8" w:color="auto"/>
            </w:tcBorders>
          </w:tcPr>
          <w:p>
            <w:pPr>
              <w:spacing w:after="0"/>
              <w:rPr>
                <w:sz w:val="15"/>
                <w:szCs w:val="15"/>
                <w:color w:val="auto"/>
              </w:rPr>
            </w:pPr>
          </w:p>
        </w:tc>
        <w:tc>
          <w:tcPr>
            <w:tcW w:w="1160" w:type="dxa"/>
            <w:vAlign w:val="bottom"/>
            <w:tcBorders>
              <w:top w:val="single" w:sz="8" w:color="1666AF"/>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top w:val="single" w:sz="8" w:color="1666AF"/>
              <w:bottom w:val="single" w:sz="8" w:color="auto"/>
            </w:tcBorders>
          </w:tcPr>
          <w:p>
            <w:pPr>
              <w:spacing w:after="0"/>
              <w:rPr>
                <w:sz w:val="15"/>
                <w:szCs w:val="15"/>
                <w:color w:val="auto"/>
              </w:rPr>
            </w:pPr>
          </w:p>
        </w:tc>
        <w:tc>
          <w:tcPr>
            <w:tcW w:w="1240" w:type="dxa"/>
            <w:vAlign w:val="bottom"/>
            <w:tcBorders>
              <w:top w:val="single" w:sz="8" w:color="1666AF"/>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top w:val="single" w:sz="8" w:color="1666AF"/>
              <w:bottom w:val="single" w:sz="8" w:color="auto"/>
            </w:tcBorders>
          </w:tcPr>
          <w:p>
            <w:pPr>
              <w:spacing w:after="0"/>
              <w:rPr>
                <w:sz w:val="15"/>
                <w:szCs w:val="15"/>
                <w:color w:val="auto"/>
              </w:rPr>
            </w:pPr>
          </w:p>
        </w:tc>
        <w:tc>
          <w:tcPr>
            <w:tcW w:w="1160" w:type="dxa"/>
            <w:vAlign w:val="bottom"/>
            <w:tcBorders>
              <w:top w:val="single" w:sz="8" w:color="1666AF"/>
              <w:bottom w:val="single" w:sz="8" w:color="auto"/>
            </w:tcBorders>
          </w:tcPr>
          <w:p>
            <w:pPr>
              <w:spacing w:after="0"/>
              <w:rPr>
                <w:sz w:val="15"/>
                <w:szCs w:val="15"/>
                <w:color w:val="auto"/>
              </w:rPr>
            </w:pPr>
          </w:p>
        </w:tc>
      </w:tr>
      <w:tr>
        <w:trPr>
          <w:trHeight w:val="230"/>
        </w:trPr>
        <w:tc>
          <w:tcPr>
            <w:tcW w:w="7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Condensed Consolidated Statements of Financial Position (unaudited)</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Previously</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reported</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Impact of change</w:t>
            </w:r>
          </w:p>
        </w:tc>
        <w:tc>
          <w:tcPr>
            <w:tcW w:w="20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As adjusted</w:t>
            </w:r>
          </w:p>
        </w:tc>
      </w:tr>
      <w:tr>
        <w:trPr>
          <w:trHeight w:val="33"/>
        </w:trPr>
        <w:tc>
          <w:tcPr>
            <w:tcW w:w="7100" w:type="dxa"/>
            <w:vAlign w:val="bottom"/>
            <w:gridSpan w:val="2"/>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c>
          <w:tcPr>
            <w:tcW w:w="140" w:type="dxa"/>
            <w:vAlign w:val="bottom"/>
            <w:tcBorders>
              <w:bottom w:val="single" w:sz="8" w:color="1666AF"/>
            </w:tcBorders>
          </w:tcPr>
          <w:p>
            <w:pPr>
              <w:spacing w:after="0"/>
              <w:rPr>
                <w:sz w:val="2"/>
                <w:szCs w:val="2"/>
                <w:color w:val="auto"/>
              </w:rPr>
            </w:pPr>
          </w:p>
        </w:tc>
        <w:tc>
          <w:tcPr>
            <w:tcW w:w="1440" w:type="dxa"/>
            <w:vAlign w:val="bottom"/>
            <w:tcBorders>
              <w:bottom w:val="single" w:sz="8" w:color="1666AF"/>
            </w:tcBorders>
            <w:gridSpan w:val="3"/>
          </w:tcPr>
          <w:p>
            <w:pPr>
              <w:spacing w:after="0"/>
              <w:rPr>
                <w:sz w:val="2"/>
                <w:szCs w:val="2"/>
                <w:color w:val="auto"/>
              </w:rPr>
            </w:pPr>
          </w:p>
        </w:tc>
        <w:tc>
          <w:tcPr>
            <w:tcW w:w="20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r>
      <w:tr>
        <w:trPr>
          <w:trHeight w:val="244"/>
        </w:trPr>
        <w:tc>
          <w:tcPr>
            <w:tcW w:w="69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1160" w:type="dxa"/>
            <w:vAlign w:val="bottom"/>
            <w:tcBorders>
              <w:bottom w:val="single" w:sz="8" w:color="005BA5"/>
            </w:tcBorders>
          </w:tcPr>
          <w:p>
            <w:pPr>
              <w:spacing w:after="0"/>
              <w:rPr>
                <w:sz w:val="21"/>
                <w:szCs w:val="21"/>
                <w:color w:val="auto"/>
              </w:rPr>
            </w:pPr>
          </w:p>
        </w:tc>
        <w:tc>
          <w:tcPr>
            <w:tcW w:w="140" w:type="dxa"/>
            <w:vAlign w:val="bottom"/>
            <w:tcBorders>
              <w:bottom w:val="single" w:sz="8" w:color="005BA5"/>
            </w:tcBorders>
          </w:tcPr>
          <w:p>
            <w:pPr>
              <w:spacing w:after="0"/>
              <w:rPr>
                <w:sz w:val="21"/>
                <w:szCs w:val="21"/>
                <w:color w:val="auto"/>
              </w:rPr>
            </w:pPr>
          </w:p>
        </w:tc>
        <w:tc>
          <w:tcPr>
            <w:tcW w:w="1440" w:type="dxa"/>
            <w:vAlign w:val="bottom"/>
            <w:tcBorders>
              <w:bottom w:val="single" w:sz="8" w:color="005BA5"/>
            </w:tcBorders>
            <w:gridSpan w:val="3"/>
          </w:tcPr>
          <w:p>
            <w:pPr>
              <w:spacing w:after="0"/>
              <w:rPr>
                <w:sz w:val="20"/>
                <w:szCs w:val="20"/>
                <w:color w:val="auto"/>
              </w:rPr>
            </w:pPr>
            <w:r>
              <w:rPr>
                <w:rFonts w:ascii="Arial" w:cs="Arial" w:eastAsia="Arial" w:hAnsi="Arial"/>
                <w:sz w:val="16"/>
                <w:szCs w:val="16"/>
                <w:b w:val="1"/>
                <w:bCs w:val="1"/>
                <w:color w:val="auto"/>
                <w:w w:val="98"/>
              </w:rPr>
              <w:t>December 31, 2018</w:t>
            </w:r>
          </w:p>
        </w:tc>
        <w:tc>
          <w:tcPr>
            <w:tcW w:w="200" w:type="dxa"/>
            <w:vAlign w:val="bottom"/>
            <w:tcBorders>
              <w:bottom w:val="single" w:sz="8" w:color="005BA5"/>
            </w:tcBorders>
          </w:tcPr>
          <w:p>
            <w:pPr>
              <w:spacing w:after="0"/>
              <w:rPr>
                <w:sz w:val="21"/>
                <w:szCs w:val="21"/>
                <w:color w:val="auto"/>
              </w:rPr>
            </w:pPr>
          </w:p>
        </w:tc>
        <w:tc>
          <w:tcPr>
            <w:tcW w:w="1160" w:type="dxa"/>
            <w:vAlign w:val="bottom"/>
            <w:tcBorders>
              <w:bottom w:val="single" w:sz="8" w:color="005BA5"/>
            </w:tcBorders>
          </w:tcPr>
          <w:p>
            <w:pPr>
              <w:spacing w:after="0"/>
              <w:rPr>
                <w:sz w:val="21"/>
                <w:szCs w:val="21"/>
                <w:color w:val="auto"/>
              </w:rPr>
            </w:pP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 income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45,708</w:t>
            </w:r>
          </w:p>
        </w:tc>
        <w:tc>
          <w:tcPr>
            <w:tcW w:w="14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44,033</w:t>
            </w:r>
          </w:p>
        </w:tc>
      </w:tr>
      <w:tr>
        <w:trPr>
          <w:trHeight w:val="33"/>
        </w:trPr>
        <w:tc>
          <w:tcPr>
            <w:tcW w:w="6980" w:type="dxa"/>
            <w:vAlign w:val="bottom"/>
            <w:tcBorders>
              <w:bottom w:val="single" w:sz="8" w:color="1666AF"/>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1666AF"/>
            </w:tcBorders>
          </w:tcPr>
          <w:p>
            <w:pPr>
              <w:spacing w:after="0"/>
              <w:rPr>
                <w:sz w:val="2"/>
                <w:szCs w:val="2"/>
                <w:color w:val="auto"/>
              </w:rPr>
            </w:pPr>
          </w:p>
        </w:tc>
        <w:tc>
          <w:tcPr>
            <w:tcW w:w="124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Unrealized foreign currency translation adjustments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Unrecognized pension and other postretirement benefit cost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169</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AOCI</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(1,557)</w:t>
            </w:r>
          </w:p>
        </w:tc>
        <w:tc>
          <w:tcPr>
            <w:tcW w:w="1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1,675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118</w:t>
            </w:r>
          </w:p>
        </w:tc>
      </w:tr>
      <w:tr>
        <w:trPr>
          <w:trHeight w:val="33"/>
        </w:trPr>
        <w:tc>
          <w:tcPr>
            <w:tcW w:w="6980" w:type="dxa"/>
            <w:vAlign w:val="bottom"/>
            <w:tcBorders>
              <w:bottom w:val="single" w:sz="8" w:color="1666AF"/>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1666AF"/>
            </w:tcBorders>
          </w:tcPr>
          <w:p>
            <w:pPr>
              <w:spacing w:after="0"/>
              <w:rPr>
                <w:sz w:val="2"/>
                <w:szCs w:val="2"/>
                <w:color w:val="auto"/>
              </w:rPr>
            </w:pPr>
          </w:p>
        </w:tc>
        <w:tc>
          <w:tcPr>
            <w:tcW w:w="124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r>
      <w:tr>
        <w:trPr>
          <w:trHeight w:val="183"/>
        </w:trPr>
        <w:tc>
          <w:tcPr>
            <w:tcW w:w="7100" w:type="dxa"/>
            <w:vAlign w:val="bottom"/>
            <w:tcBorders>
              <w:bottom w:val="single" w:sz="8" w:color="auto"/>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Condensed Consolidated Statements of Shareholders’ Equity (unaudited)</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6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209"/>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Previous</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03"/>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accounting</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principle</w:t>
            </w:r>
          </w:p>
        </w:tc>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Impact of change</w:t>
            </w:r>
          </w:p>
        </w:tc>
        <w:tc>
          <w:tcPr>
            <w:tcW w:w="200" w:type="dxa"/>
            <w:vAlign w:val="bottom"/>
          </w:tcPr>
          <w:p>
            <w:pPr>
              <w:spacing w:after="0"/>
              <w:rPr>
                <w:sz w:val="18"/>
                <w:szCs w:val="18"/>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As reported</w:t>
            </w:r>
          </w:p>
        </w:tc>
      </w:tr>
      <w:tr>
        <w:trPr>
          <w:trHeight w:val="33"/>
        </w:trPr>
        <w:tc>
          <w:tcPr>
            <w:tcW w:w="7100" w:type="dxa"/>
            <w:vAlign w:val="bottom"/>
            <w:gridSpan w:val="2"/>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4100" w:type="dxa"/>
            <w:vAlign w:val="bottom"/>
            <w:tcBorders>
              <w:bottom w:val="single" w:sz="8" w:color="1666AF"/>
            </w:tcBorders>
            <w:gridSpan w:val="7"/>
          </w:tcPr>
          <w:p>
            <w:pPr>
              <w:spacing w:after="0"/>
              <w:rPr>
                <w:sz w:val="2"/>
                <w:szCs w:val="2"/>
                <w:color w:val="auto"/>
              </w:rPr>
            </w:pPr>
          </w:p>
        </w:tc>
      </w:tr>
      <w:tr>
        <w:trPr>
          <w:trHeight w:val="244"/>
        </w:trPr>
        <w:tc>
          <w:tcPr>
            <w:tcW w:w="69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4100" w:type="dxa"/>
            <w:vAlign w:val="bottom"/>
            <w:tcBorders>
              <w:bottom w:val="single" w:sz="8" w:color="005BA5"/>
            </w:tcBorders>
            <w:gridSpan w:val="7"/>
          </w:tcPr>
          <w:p>
            <w:pPr>
              <w:jc w:val="center"/>
              <w:ind w:right="119"/>
              <w:spacing w:after="0"/>
              <w:rPr>
                <w:sz w:val="20"/>
                <w:szCs w:val="20"/>
                <w:color w:val="auto"/>
              </w:rPr>
            </w:pPr>
            <w:r>
              <w:rPr>
                <w:rFonts w:ascii="Arial" w:cs="Arial" w:eastAsia="Arial" w:hAnsi="Arial"/>
                <w:sz w:val="16"/>
                <w:szCs w:val="16"/>
                <w:b w:val="1"/>
                <w:bCs w:val="1"/>
                <w:color w:val="auto"/>
                <w:w w:val="92"/>
              </w:rPr>
              <w:t>Three months ended March 31, 2019</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 income</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Balance, beginning of period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45,708</w:t>
            </w:r>
          </w:p>
        </w:tc>
        <w:tc>
          <w:tcPr>
            <w:tcW w:w="1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44,033</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Cumulative effect of change in accounting principle</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1,292</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Dividends on common stock</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Dividends on preferred stock</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46,818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(1,670)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45,148</w:t>
            </w:r>
          </w:p>
        </w:tc>
      </w:tr>
      <w:tr>
        <w:trPr>
          <w:trHeight w:val="33"/>
        </w:trPr>
        <w:tc>
          <w:tcPr>
            <w:tcW w:w="7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15"/>
        </w:trPr>
        <w:tc>
          <w:tcPr>
            <w:tcW w:w="6980" w:type="dxa"/>
            <w:vAlign w:val="bottom"/>
            <w:tcBorders>
              <w:top w:val="single" w:sz="8" w:color="1666AF"/>
              <w:bottom w:val="single" w:sz="8" w:color="ACACAC"/>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1666AF"/>
              <w:bottom w:val="single" w:sz="8" w:color="ACACAC"/>
            </w:tcBorders>
          </w:tcPr>
          <w:p>
            <w:pPr>
              <w:spacing w:after="0"/>
              <w:rPr>
                <w:sz w:val="10"/>
                <w:szCs w:val="10"/>
                <w:color w:val="auto"/>
              </w:rPr>
            </w:pPr>
          </w:p>
        </w:tc>
        <w:tc>
          <w:tcPr>
            <w:tcW w:w="1160" w:type="dxa"/>
            <w:vAlign w:val="bottom"/>
            <w:tcBorders>
              <w:top w:val="single" w:sz="8" w:color="1666AF"/>
              <w:bottom w:val="single" w:sz="8" w:color="ACACAC"/>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1666AF"/>
              <w:bottom w:val="single" w:sz="8" w:color="ACACAC"/>
            </w:tcBorders>
          </w:tcPr>
          <w:p>
            <w:pPr>
              <w:spacing w:after="0"/>
              <w:rPr>
                <w:sz w:val="10"/>
                <w:szCs w:val="10"/>
                <w:color w:val="auto"/>
              </w:rPr>
            </w:pPr>
          </w:p>
        </w:tc>
        <w:tc>
          <w:tcPr>
            <w:tcW w:w="1240" w:type="dxa"/>
            <w:vAlign w:val="bottom"/>
            <w:tcBorders>
              <w:top w:val="single" w:sz="8" w:color="1666AF"/>
              <w:bottom w:val="single" w:sz="8" w:color="ACACAC"/>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1666AF"/>
              <w:bottom w:val="single" w:sz="8" w:color="ACACAC"/>
            </w:tcBorders>
          </w:tcPr>
          <w:p>
            <w:pPr>
              <w:spacing w:after="0"/>
              <w:rPr>
                <w:sz w:val="10"/>
                <w:szCs w:val="10"/>
                <w:color w:val="auto"/>
              </w:rPr>
            </w:pPr>
          </w:p>
        </w:tc>
        <w:tc>
          <w:tcPr>
            <w:tcW w:w="1160" w:type="dxa"/>
            <w:vAlign w:val="bottom"/>
            <w:tcBorders>
              <w:top w:val="single" w:sz="8" w:color="1666AF"/>
              <w:bottom w:val="single" w:sz="8" w:color="ACACAC"/>
            </w:tcBorders>
          </w:tcPr>
          <w:p>
            <w:pPr>
              <w:spacing w:after="0"/>
              <w:rPr>
                <w:sz w:val="10"/>
                <w:szCs w:val="10"/>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 other comprehensive income (loss)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Balance, beginning of period</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Cumulative effect of change in accounting principle</w:t>
            </w: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Change in unrealized net capital gains and losses</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974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974</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Change in unrealized foreign currency translation adjustments</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50"/>
        </w:trPr>
        <w:tc>
          <w:tcPr>
            <w:tcW w:w="698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Change in unrecognized pension and other postretirement benefit cost </w:t>
            </w:r>
            <w:r>
              <w:rPr>
                <w:rFonts w:ascii="Arial" w:cs="Arial" w:eastAsia="Arial" w:hAnsi="Arial"/>
                <w:sz w:val="23"/>
                <w:szCs w:val="23"/>
                <w:color w:val="005BA5"/>
                <w:vertAlign w:val="superscript"/>
              </w:rPr>
              <w:t>(1)</w:t>
            </w:r>
          </w:p>
        </w:tc>
        <w:tc>
          <w:tcPr>
            <w:tcW w:w="120" w:type="dxa"/>
            <w:vAlign w:val="bottom"/>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1160" w:type="dxa"/>
            <w:vAlign w:val="bottom"/>
            <w:tcBorders>
              <w:bottom w:val="single" w:sz="8" w:color="005BA5"/>
            </w:tcBorders>
          </w:tcPr>
          <w:p>
            <w:pPr>
              <w:jc w:val="right"/>
              <w:ind w:right="39"/>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(566)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1,651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1,085</w:t>
            </w:r>
          </w:p>
        </w:tc>
      </w:tr>
      <w:tr>
        <w:trPr>
          <w:trHeight w:val="33"/>
        </w:trPr>
        <w:tc>
          <w:tcPr>
            <w:tcW w:w="6980" w:type="dxa"/>
            <w:vAlign w:val="bottom"/>
            <w:tcBorders>
              <w:bottom w:val="single" w:sz="8" w:color="1666AF"/>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1666AF"/>
            </w:tcBorders>
          </w:tcPr>
          <w:p>
            <w:pPr>
              <w:spacing w:after="0"/>
              <w:rPr>
                <w:sz w:val="2"/>
                <w:szCs w:val="2"/>
                <w:color w:val="auto"/>
              </w:rPr>
            </w:pPr>
          </w:p>
        </w:tc>
        <w:tc>
          <w:tcPr>
            <w:tcW w:w="124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1666AF"/>
            </w:tcBorders>
          </w:tcPr>
          <w:p>
            <w:pPr>
              <w:spacing w:after="0"/>
              <w:rPr>
                <w:sz w:val="2"/>
                <w:szCs w:val="2"/>
                <w:color w:val="auto"/>
              </w:rPr>
            </w:pPr>
          </w:p>
        </w:tc>
        <w:tc>
          <w:tcPr>
            <w:tcW w:w="1160" w:type="dxa"/>
            <w:vAlign w:val="bottom"/>
            <w:tcBorders>
              <w:bottom w:val="single" w:sz="8" w:color="1666AF"/>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b w:val="1"/>
                <w:bCs w:val="1"/>
                <w:color w:val="auto"/>
              </w:rPr>
              <w:t>23,437</w:t>
            </w:r>
          </w:p>
        </w:tc>
        <w:tc>
          <w:tcPr>
            <w:tcW w:w="14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23,418</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bl>
    <w:p>
      <w:pPr>
        <w:spacing w:after="0" w:line="55" w:lineRule="exact"/>
        <w:rPr>
          <w:sz w:val="20"/>
          <w:szCs w:val="20"/>
          <w:color w:val="auto"/>
        </w:rPr>
      </w:pPr>
    </w:p>
    <w:p>
      <w:pPr>
        <w:sectPr>
          <w:pgSz w:w="11900" w:h="16838" w:orient="portrait"/>
          <w:cols w:equalWidth="0" w:num="1">
            <w:col w:w="11420"/>
          </w:cols>
          <w:pgMar w:left="240" w:top="141" w:right="239" w:bottom="61" w:gutter="0" w:footer="0" w:header="0"/>
        </w:sectPr>
      </w:pPr>
    </w:p>
    <w:p>
      <w:pPr>
        <w:ind w:left="260" w:hanging="171"/>
        <w:spacing w:after="0"/>
        <w:tabs>
          <w:tab w:leader="none" w:pos="260" w:val="left"/>
        </w:tabs>
        <w:numPr>
          <w:ilvl w:val="0"/>
          <w:numId w:val="4"/>
        </w:numPr>
        <w:rPr>
          <w:rFonts w:ascii="Arial" w:cs="Arial" w:eastAsia="Arial" w:hAnsi="Arial"/>
          <w:sz w:val="20"/>
          <w:szCs w:val="20"/>
          <w:color w:val="005BA5"/>
          <w:vertAlign w:val="superscript"/>
        </w:rPr>
      </w:pPr>
      <w:r>
        <w:rPr>
          <w:rFonts w:ascii="Arial" w:cs="Arial" w:eastAsia="Arial" w:hAnsi="Arial"/>
          <w:sz w:val="12"/>
          <w:szCs w:val="12"/>
          <w:color w:val="auto"/>
        </w:rPr>
        <w:t>Financial statement line item has been updated to “Change in unamortized pension and other postretirement prior service credit”.</w:t>
      </w:r>
    </w:p>
    <w:p>
      <w:pPr>
        <w:sectPr>
          <w:pgSz w:w="11900" w:h="16838" w:orient="portrait"/>
          <w:cols w:equalWidth="0" w:num="1">
            <w:col w:w="11420"/>
          </w:cols>
          <w:pgMar w:left="240" w:top="141" w:right="239" w:bottom="61" w:gutter="0" w:footer="0" w:header="0"/>
          <w:type w:val="continuous"/>
        </w:sectPr>
      </w:pPr>
    </w:p>
    <w:bookmarkStart w:id="12" w:name="page13"/>
    <w:bookmarkEnd w:id="12"/>
    <w:p>
      <w:pPr>
        <w:spacing w:after="0"/>
        <w:rPr>
          <w:sz w:val="20"/>
          <w:szCs w:val="20"/>
          <w:color w:val="auto"/>
        </w:rPr>
      </w:pPr>
      <w:r>
        <w:rPr>
          <w:rFonts w:ascii="Arial" w:cs="Arial" w:eastAsia="Arial" w:hAnsi="Arial"/>
          <w:sz w:val="15"/>
          <w:szCs w:val="15"/>
          <w:color w:val="1666AF"/>
        </w:rPr>
        <w:t xml:space="preserve">10 </w:t>
      </w:r>
      <w:r>
        <w:rPr>
          <w:sz w:val="1"/>
          <w:szCs w:val="1"/>
          <w:color w:val="auto"/>
        </w:rPr>
        <w:drawing>
          <wp:inline distT="0" distB="0" distL="0" distR="0">
            <wp:extent cx="111760" cy="1117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0219"/>
          </w:cols>
          <w:pgMar w:left="240" w:top="140" w:right="1440" w:bottom="1440" w:gutter="0" w:footer="0" w:header="0"/>
        </w:sectPr>
      </w:pPr>
    </w:p>
    <w:bookmarkStart w:id="13" w:name="page14"/>
    <w:bookmarkEnd w:id="13"/>
    <w:p>
      <w:pPr>
        <w:ind w:left="740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Condensed 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4"/>
          </w:tcPr>
          <w:p>
            <w:pPr>
              <w:jc w:val="right"/>
              <w:ind w:right="460"/>
              <w:spacing w:after="0"/>
              <w:rPr>
                <w:sz w:val="20"/>
                <w:szCs w:val="20"/>
                <w:color w:val="auto"/>
              </w:rPr>
            </w:pPr>
            <w:r>
              <w:rPr>
                <w:rFonts w:ascii="Arial" w:cs="Arial" w:eastAsia="Arial" w:hAnsi="Arial"/>
                <w:sz w:val="16"/>
                <w:szCs w:val="16"/>
                <w:b w:val="1"/>
                <w:bCs w:val="1"/>
                <w:color w:val="auto"/>
              </w:rPr>
              <w:t>Previously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w w:val="98"/>
              </w:rPr>
              <w:t>reported</w:t>
            </w:r>
          </w:p>
        </w:tc>
        <w:tc>
          <w:tcPr>
            <w:tcW w:w="1440" w:type="dxa"/>
            <w:vAlign w:val="bottom"/>
            <w:gridSpan w:val="5"/>
          </w:tcPr>
          <w:p>
            <w:pPr>
              <w:jc w:val="right"/>
              <w:ind w:right="180"/>
              <w:spacing w:after="0"/>
              <w:rPr>
                <w:sz w:val="20"/>
                <w:szCs w:val="20"/>
                <w:color w:val="auto"/>
              </w:rPr>
            </w:pPr>
            <w:r>
              <w:rPr>
                <w:rFonts w:ascii="Arial" w:cs="Arial" w:eastAsia="Arial" w:hAnsi="Arial"/>
                <w:sz w:val="16"/>
                <w:szCs w:val="16"/>
                <w:b w:val="1"/>
                <w:bCs w:val="1"/>
                <w:color w:val="auto"/>
                <w:w w:val="94"/>
              </w:rPr>
              <w:t>Impact of change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b w:val="1"/>
                <w:bCs w:val="1"/>
                <w:color w:val="auto"/>
                <w:w w:val="90"/>
              </w:rPr>
              <w:t>As adjusted</w:t>
            </w:r>
          </w:p>
        </w:tc>
      </w:tr>
      <w:tr>
        <w:trPr>
          <w:trHeight w:val="33"/>
        </w:trPr>
        <w:tc>
          <w:tcPr>
            <w:tcW w:w="7100" w:type="dxa"/>
            <w:vAlign w:val="bottom"/>
            <w:gridSpan w:val="2"/>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120" w:type="dxa"/>
            <w:vAlign w:val="bottom"/>
            <w:tcBorders>
              <w:bottom w:val="single" w:sz="8" w:color="1666AF"/>
            </w:tcBorders>
          </w:tcPr>
          <w:p>
            <w:pPr>
              <w:spacing w:after="0"/>
              <w:rPr>
                <w:sz w:val="2"/>
                <w:szCs w:val="2"/>
                <w:color w:val="auto"/>
              </w:rPr>
            </w:pPr>
          </w:p>
        </w:tc>
        <w:tc>
          <w:tcPr>
            <w:tcW w:w="180" w:type="dxa"/>
            <w:vAlign w:val="bottom"/>
            <w:tcBorders>
              <w:bottom w:val="single" w:sz="8" w:color="1666AF"/>
            </w:tcBorders>
          </w:tcPr>
          <w:p>
            <w:pPr>
              <w:spacing w:after="0"/>
              <w:rPr>
                <w:sz w:val="2"/>
                <w:szCs w:val="2"/>
                <w:color w:val="auto"/>
              </w:rPr>
            </w:pPr>
          </w:p>
        </w:tc>
        <w:tc>
          <w:tcPr>
            <w:tcW w:w="1100" w:type="dxa"/>
            <w:vAlign w:val="bottom"/>
            <w:tcBorders>
              <w:bottom w:val="single" w:sz="8" w:color="1666AF"/>
            </w:tcBorders>
            <w:gridSpan w:val="3"/>
          </w:tcPr>
          <w:p>
            <w:pPr>
              <w:spacing w:after="0"/>
              <w:rPr>
                <w:sz w:val="2"/>
                <w:szCs w:val="2"/>
                <w:color w:val="auto"/>
              </w:rPr>
            </w:pPr>
          </w:p>
        </w:tc>
        <w:tc>
          <w:tcPr>
            <w:tcW w:w="100" w:type="dxa"/>
            <w:vAlign w:val="bottom"/>
            <w:tcBorders>
              <w:bottom w:val="single" w:sz="8" w:color="1666AF"/>
            </w:tcBorders>
          </w:tcPr>
          <w:p>
            <w:pPr>
              <w:spacing w:after="0"/>
              <w:rPr>
                <w:sz w:val="2"/>
                <w:szCs w:val="2"/>
                <w:color w:val="auto"/>
              </w:rPr>
            </w:pPr>
          </w:p>
        </w:tc>
        <w:tc>
          <w:tcPr>
            <w:tcW w:w="1360" w:type="dxa"/>
            <w:vAlign w:val="bottom"/>
            <w:tcBorders>
              <w:bottom w:val="single" w:sz="8" w:color="1666AF"/>
            </w:tcBorders>
            <w:gridSpan w:val="4"/>
          </w:tcPr>
          <w:p>
            <w:pPr>
              <w:spacing w:after="0"/>
              <w:rPr>
                <w:sz w:val="2"/>
                <w:szCs w:val="2"/>
                <w:color w:val="auto"/>
              </w:rPr>
            </w:pPr>
          </w:p>
        </w:tc>
        <w:tc>
          <w:tcPr>
            <w:tcW w:w="1240" w:type="dxa"/>
            <w:vAlign w:val="bottom"/>
            <w:tcBorders>
              <w:bottom w:val="single" w:sz="8" w:color="1666AF"/>
            </w:tcBorders>
            <w:gridSpan w:val="2"/>
          </w:tcPr>
          <w:p>
            <w:pPr>
              <w:spacing w:after="0"/>
              <w:rPr>
                <w:sz w:val="2"/>
                <w:szCs w:val="2"/>
                <w:color w:val="auto"/>
              </w:rPr>
            </w:pPr>
          </w:p>
        </w:tc>
      </w:tr>
      <w:tr>
        <w:trPr>
          <w:trHeight w:val="244"/>
        </w:trPr>
        <w:tc>
          <w:tcPr>
            <w:tcW w:w="69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180" w:type="dxa"/>
            <w:vAlign w:val="bottom"/>
            <w:tcBorders>
              <w:bottom w:val="single" w:sz="8" w:color="005BA5"/>
            </w:tcBorders>
          </w:tcPr>
          <w:p>
            <w:pPr>
              <w:spacing w:after="0"/>
              <w:rPr>
                <w:sz w:val="21"/>
                <w:szCs w:val="21"/>
                <w:color w:val="auto"/>
              </w:rPr>
            </w:pPr>
          </w:p>
        </w:tc>
        <w:tc>
          <w:tcPr>
            <w:tcW w:w="3800" w:type="dxa"/>
            <w:vAlign w:val="bottom"/>
            <w:tcBorders>
              <w:bottom w:val="single" w:sz="8" w:color="005BA5"/>
            </w:tcBorders>
            <w:gridSpan w:val="10"/>
          </w:tcPr>
          <w:p>
            <w:pPr>
              <w:jc w:val="right"/>
              <w:ind w:right="799"/>
              <w:spacing w:after="0"/>
              <w:rPr>
                <w:sz w:val="20"/>
                <w:szCs w:val="20"/>
                <w:color w:val="auto"/>
              </w:rPr>
            </w:pPr>
            <w:r>
              <w:rPr>
                <w:rFonts w:ascii="Arial" w:cs="Arial" w:eastAsia="Arial" w:hAnsi="Arial"/>
                <w:sz w:val="16"/>
                <w:szCs w:val="16"/>
                <w:b w:val="1"/>
                <w:bCs w:val="1"/>
                <w:color w:val="auto"/>
              </w:rPr>
              <w:t>Three months ended March 31, 2018</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Retained income</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Balance, beginning of period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43,162</w:t>
            </w:r>
          </w:p>
        </w:tc>
        <w:tc>
          <w:tcPr>
            <w:tcW w:w="14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41,579</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Cumulative effect of change in accounting principle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1,088</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1,006</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Dividends on common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(165)</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Dividends on preferred stock</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45,031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43,479</w:t>
            </w:r>
          </w:p>
        </w:tc>
      </w:tr>
      <w:tr>
        <w:trPr>
          <w:trHeight w:val="33"/>
        </w:trPr>
        <w:tc>
          <w:tcPr>
            <w:tcW w:w="7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15"/>
        </w:trPr>
        <w:tc>
          <w:tcPr>
            <w:tcW w:w="6980" w:type="dxa"/>
            <w:vAlign w:val="bottom"/>
            <w:tcBorders>
              <w:top w:val="single" w:sz="8" w:color="1666AF"/>
              <w:bottom w:val="single" w:sz="8" w:color="ACACAC"/>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1666AF"/>
              <w:bottom w:val="single" w:sz="8" w:color="ACACAC"/>
            </w:tcBorders>
          </w:tcPr>
          <w:p>
            <w:pPr>
              <w:spacing w:after="0"/>
              <w:rPr>
                <w:sz w:val="10"/>
                <w:szCs w:val="10"/>
                <w:color w:val="auto"/>
              </w:rPr>
            </w:pPr>
          </w:p>
        </w:tc>
        <w:tc>
          <w:tcPr>
            <w:tcW w:w="120" w:type="dxa"/>
            <w:vAlign w:val="bottom"/>
            <w:tcBorders>
              <w:top w:val="single" w:sz="8" w:color="1666AF"/>
              <w:bottom w:val="single" w:sz="8" w:color="ACACAC"/>
            </w:tcBorders>
          </w:tcPr>
          <w:p>
            <w:pPr>
              <w:spacing w:after="0"/>
              <w:rPr>
                <w:sz w:val="10"/>
                <w:szCs w:val="10"/>
                <w:color w:val="auto"/>
              </w:rPr>
            </w:pPr>
          </w:p>
        </w:tc>
        <w:tc>
          <w:tcPr>
            <w:tcW w:w="180" w:type="dxa"/>
            <w:vAlign w:val="bottom"/>
            <w:tcBorders>
              <w:top w:val="single" w:sz="8" w:color="1666AF"/>
              <w:bottom w:val="single" w:sz="8" w:color="ACACAC"/>
            </w:tcBorders>
          </w:tcPr>
          <w:p>
            <w:pPr>
              <w:spacing w:after="0"/>
              <w:rPr>
                <w:sz w:val="10"/>
                <w:szCs w:val="10"/>
                <w:color w:val="auto"/>
              </w:rPr>
            </w:pPr>
          </w:p>
        </w:tc>
        <w:tc>
          <w:tcPr>
            <w:tcW w:w="860" w:type="dxa"/>
            <w:vAlign w:val="bottom"/>
            <w:tcBorders>
              <w:top w:val="single" w:sz="8" w:color="1666AF"/>
              <w:bottom w:val="single" w:sz="8" w:color="ACACAC"/>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1666AF"/>
              <w:bottom w:val="single" w:sz="8" w:color="ACACAC"/>
            </w:tcBorders>
          </w:tcPr>
          <w:p>
            <w:pPr>
              <w:spacing w:after="0"/>
              <w:rPr>
                <w:sz w:val="10"/>
                <w:szCs w:val="10"/>
                <w:color w:val="auto"/>
              </w:rPr>
            </w:pPr>
          </w:p>
        </w:tc>
        <w:tc>
          <w:tcPr>
            <w:tcW w:w="100" w:type="dxa"/>
            <w:vAlign w:val="bottom"/>
            <w:tcBorders>
              <w:top w:val="single" w:sz="8" w:color="1666AF"/>
              <w:bottom w:val="single" w:sz="8" w:color="ACACAC"/>
            </w:tcBorders>
          </w:tcPr>
          <w:p>
            <w:pPr>
              <w:spacing w:after="0"/>
              <w:rPr>
                <w:sz w:val="10"/>
                <w:szCs w:val="10"/>
                <w:color w:val="auto"/>
              </w:rPr>
            </w:pPr>
          </w:p>
        </w:tc>
        <w:tc>
          <w:tcPr>
            <w:tcW w:w="200" w:type="dxa"/>
            <w:vAlign w:val="bottom"/>
            <w:tcBorders>
              <w:top w:val="single" w:sz="8" w:color="1666AF"/>
              <w:bottom w:val="single" w:sz="8" w:color="ACACAC"/>
            </w:tcBorders>
          </w:tcPr>
          <w:p>
            <w:pPr>
              <w:spacing w:after="0"/>
              <w:rPr>
                <w:sz w:val="10"/>
                <w:szCs w:val="10"/>
                <w:color w:val="auto"/>
              </w:rPr>
            </w:pPr>
          </w:p>
        </w:tc>
        <w:tc>
          <w:tcPr>
            <w:tcW w:w="940" w:type="dxa"/>
            <w:vAlign w:val="bottom"/>
            <w:tcBorders>
              <w:top w:val="single" w:sz="8" w:color="1666AF"/>
              <w:bottom w:val="single" w:sz="8" w:color="ACACAC"/>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1666AF"/>
              <w:bottom w:val="single" w:sz="8" w:color="ACACAC"/>
            </w:tcBorders>
          </w:tcPr>
          <w:p>
            <w:pPr>
              <w:spacing w:after="0"/>
              <w:rPr>
                <w:sz w:val="10"/>
                <w:szCs w:val="10"/>
                <w:color w:val="auto"/>
              </w:rPr>
            </w:pPr>
          </w:p>
        </w:tc>
        <w:tc>
          <w:tcPr>
            <w:tcW w:w="140" w:type="dxa"/>
            <w:vAlign w:val="bottom"/>
            <w:tcBorders>
              <w:top w:val="single" w:sz="8" w:color="1666AF"/>
              <w:bottom w:val="single" w:sz="8" w:color="ACACAC"/>
            </w:tcBorders>
          </w:tcPr>
          <w:p>
            <w:pPr>
              <w:spacing w:after="0"/>
              <w:rPr>
                <w:sz w:val="10"/>
                <w:szCs w:val="10"/>
                <w:color w:val="auto"/>
              </w:rPr>
            </w:pPr>
          </w:p>
        </w:tc>
        <w:tc>
          <w:tcPr>
            <w:tcW w:w="1100" w:type="dxa"/>
            <w:vAlign w:val="bottom"/>
            <w:tcBorders>
              <w:top w:val="single" w:sz="8" w:color="1666AF"/>
              <w:bottom w:val="single" w:sz="8" w:color="ACACAC"/>
            </w:tcBorders>
          </w:tcPr>
          <w:p>
            <w:pPr>
              <w:spacing w:after="0"/>
              <w:rPr>
                <w:sz w:val="10"/>
                <w:szCs w:val="10"/>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Accumulated other comprehensive income (loss)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Balance, beginning of period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1,889</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Cumulative effect of change in accounting principle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Change in unrealized net capital gains and losses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(565)</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Change in unrealized foreign currency translation adjustments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Change in unrecognized pension and other postretirement benefit cost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end of period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1,548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398</w:t>
            </w:r>
          </w:p>
        </w:tc>
      </w:tr>
      <w:tr>
        <w:trPr>
          <w:trHeight w:val="33"/>
        </w:trPr>
        <w:tc>
          <w:tcPr>
            <w:tcW w:w="6980" w:type="dxa"/>
            <w:vAlign w:val="bottom"/>
            <w:tcBorders>
              <w:bottom w:val="single" w:sz="8" w:color="1666AF"/>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1666AF"/>
            </w:tcBorders>
          </w:tcPr>
          <w:p>
            <w:pPr>
              <w:spacing w:after="0"/>
              <w:rPr>
                <w:sz w:val="2"/>
                <w:szCs w:val="2"/>
                <w:color w:val="auto"/>
              </w:rPr>
            </w:pPr>
          </w:p>
        </w:tc>
        <w:tc>
          <w:tcPr>
            <w:tcW w:w="120" w:type="dxa"/>
            <w:vAlign w:val="bottom"/>
            <w:tcBorders>
              <w:bottom w:val="single" w:sz="8" w:color="1666AF"/>
            </w:tcBorders>
          </w:tcPr>
          <w:p>
            <w:pPr>
              <w:spacing w:after="0"/>
              <w:rPr>
                <w:sz w:val="2"/>
                <w:szCs w:val="2"/>
                <w:color w:val="auto"/>
              </w:rPr>
            </w:pPr>
          </w:p>
        </w:tc>
        <w:tc>
          <w:tcPr>
            <w:tcW w:w="180" w:type="dxa"/>
            <w:vAlign w:val="bottom"/>
            <w:tcBorders>
              <w:bottom w:val="single" w:sz="8" w:color="1666AF"/>
            </w:tcBorders>
          </w:tcPr>
          <w:p>
            <w:pPr>
              <w:spacing w:after="0"/>
              <w:rPr>
                <w:sz w:val="2"/>
                <w:szCs w:val="2"/>
                <w:color w:val="auto"/>
              </w:rPr>
            </w:pPr>
          </w:p>
        </w:tc>
        <w:tc>
          <w:tcPr>
            <w:tcW w:w="860" w:type="dxa"/>
            <w:vAlign w:val="bottom"/>
            <w:tcBorders>
              <w:bottom w:val="single" w:sz="8" w:color="1666AF"/>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1666AF"/>
            </w:tcBorders>
          </w:tcPr>
          <w:p>
            <w:pPr>
              <w:spacing w:after="0"/>
              <w:rPr>
                <w:sz w:val="2"/>
                <w:szCs w:val="2"/>
                <w:color w:val="auto"/>
              </w:rPr>
            </w:pPr>
          </w:p>
        </w:tc>
        <w:tc>
          <w:tcPr>
            <w:tcW w:w="100" w:type="dxa"/>
            <w:vAlign w:val="bottom"/>
            <w:tcBorders>
              <w:bottom w:val="single" w:sz="8" w:color="1666AF"/>
            </w:tcBorders>
          </w:tcPr>
          <w:p>
            <w:pPr>
              <w:spacing w:after="0"/>
              <w:rPr>
                <w:sz w:val="2"/>
                <w:szCs w:val="2"/>
                <w:color w:val="auto"/>
              </w:rPr>
            </w:pPr>
          </w:p>
        </w:tc>
        <w:tc>
          <w:tcPr>
            <w:tcW w:w="200" w:type="dxa"/>
            <w:vAlign w:val="bottom"/>
            <w:tcBorders>
              <w:bottom w:val="single" w:sz="8" w:color="1666AF"/>
            </w:tcBorders>
          </w:tcPr>
          <w:p>
            <w:pPr>
              <w:spacing w:after="0"/>
              <w:rPr>
                <w:sz w:val="2"/>
                <w:szCs w:val="2"/>
                <w:color w:val="auto"/>
              </w:rPr>
            </w:pPr>
          </w:p>
        </w:tc>
        <w:tc>
          <w:tcPr>
            <w:tcW w:w="94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1666AF"/>
            </w:tcBorders>
          </w:tcPr>
          <w:p>
            <w:pPr>
              <w:spacing w:after="0"/>
              <w:rPr>
                <w:sz w:val="2"/>
                <w:szCs w:val="2"/>
                <w:color w:val="auto"/>
              </w:rPr>
            </w:pPr>
          </w:p>
        </w:tc>
        <w:tc>
          <w:tcPr>
            <w:tcW w:w="140" w:type="dxa"/>
            <w:vAlign w:val="bottom"/>
            <w:tcBorders>
              <w:bottom w:val="single" w:sz="8" w:color="1666AF"/>
            </w:tcBorders>
          </w:tcPr>
          <w:p>
            <w:pPr>
              <w:spacing w:after="0"/>
              <w:rPr>
                <w:sz w:val="2"/>
                <w:szCs w:val="2"/>
                <w:color w:val="auto"/>
              </w:rPr>
            </w:pPr>
          </w:p>
        </w:tc>
        <w:tc>
          <w:tcPr>
            <w:tcW w:w="1100" w:type="dxa"/>
            <w:vAlign w:val="bottom"/>
            <w:tcBorders>
              <w:bottom w:val="single" w:sz="8" w:color="1666AF"/>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23,277</w:t>
            </w:r>
          </w:p>
        </w:tc>
        <w:tc>
          <w:tcPr>
            <w:tcW w:w="14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23,273</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r>
      <w:tr>
        <w:trPr>
          <w:trHeight w:val="183"/>
        </w:trPr>
        <w:tc>
          <w:tcPr>
            <w:tcW w:w="7100" w:type="dxa"/>
            <w:vAlign w:val="bottom"/>
            <w:tcBorders>
              <w:bottom w:val="single" w:sz="8" w:color="auto"/>
            </w:tcBorders>
            <w:gridSpan w:val="2"/>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57"/>
        </w:trPr>
        <w:tc>
          <w:tcPr>
            <w:tcW w:w="7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Condensed Consolidated Statements of Cash Flows (unaudited)</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Previous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03"/>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accounting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Impact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principle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change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w w:val="95"/>
              </w:rPr>
              <w:t>As reported</w:t>
            </w:r>
          </w:p>
        </w:tc>
      </w:tr>
      <w:tr>
        <w:trPr>
          <w:trHeight w:val="33"/>
        </w:trPr>
        <w:tc>
          <w:tcPr>
            <w:tcW w:w="7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1666AF"/>
            </w:tcBorders>
          </w:tcPr>
          <w:p>
            <w:pPr>
              <w:spacing w:after="0"/>
              <w:rPr>
                <w:sz w:val="2"/>
                <w:szCs w:val="2"/>
                <w:color w:val="auto"/>
              </w:rPr>
            </w:pPr>
          </w:p>
        </w:tc>
        <w:tc>
          <w:tcPr>
            <w:tcW w:w="3800" w:type="dxa"/>
            <w:vAlign w:val="bottom"/>
            <w:tcBorders>
              <w:bottom w:val="single" w:sz="8" w:color="1666AF"/>
            </w:tcBorders>
            <w:gridSpan w:val="10"/>
          </w:tcPr>
          <w:p>
            <w:pPr>
              <w:spacing w:after="0"/>
              <w:rPr>
                <w:sz w:val="2"/>
                <w:szCs w:val="2"/>
                <w:color w:val="auto"/>
              </w:rPr>
            </w:pPr>
          </w:p>
        </w:tc>
      </w:tr>
      <w:tr>
        <w:trPr>
          <w:trHeight w:val="244"/>
        </w:trPr>
        <w:tc>
          <w:tcPr>
            <w:tcW w:w="7100" w:type="dxa"/>
            <w:vAlign w:val="bottom"/>
            <w:tcBorders>
              <w:bottom w:val="single" w:sz="8" w:color="005BA5"/>
            </w:tcBorders>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Borders>
              <w:bottom w:val="single" w:sz="8" w:color="005BA5"/>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005BA5"/>
            </w:tcBorders>
          </w:tcPr>
          <w:p>
            <w:pPr>
              <w:spacing w:after="0"/>
              <w:rPr>
                <w:sz w:val="21"/>
                <w:szCs w:val="21"/>
                <w:color w:val="auto"/>
              </w:rPr>
            </w:pPr>
          </w:p>
        </w:tc>
        <w:tc>
          <w:tcPr>
            <w:tcW w:w="3800" w:type="dxa"/>
            <w:vAlign w:val="bottom"/>
            <w:tcBorders>
              <w:bottom w:val="single" w:sz="8" w:color="005BA5"/>
            </w:tcBorders>
            <w:gridSpan w:val="10"/>
          </w:tcPr>
          <w:p>
            <w:pPr>
              <w:jc w:val="center"/>
              <w:ind w:right="79"/>
              <w:spacing w:after="0"/>
              <w:rPr>
                <w:sz w:val="20"/>
                <w:szCs w:val="20"/>
                <w:color w:val="auto"/>
              </w:rPr>
            </w:pPr>
            <w:r>
              <w:rPr>
                <w:rFonts w:ascii="Arial" w:cs="Arial" w:eastAsia="Arial" w:hAnsi="Arial"/>
                <w:sz w:val="16"/>
                <w:szCs w:val="16"/>
                <w:b w:val="1"/>
                <w:bCs w:val="1"/>
                <w:color w:val="auto"/>
                <w:w w:val="91"/>
              </w:rPr>
              <w:t>Three months ended March 31, 2019</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7100" w:type="dxa"/>
            <w:vAlign w:val="bottom"/>
            <w:tcBorders>
              <w:bottom w:val="single" w:sz="8" w:color="ACACAC"/>
            </w:tcBorders>
            <w:gridSpan w:val="2"/>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gridSpan w:val="2"/>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1,287</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1,292</w:t>
            </w:r>
          </w:p>
        </w:tc>
      </w:tr>
      <w:tr>
        <w:trPr>
          <w:trHeight w:val="33"/>
        </w:trPr>
        <w:tc>
          <w:tcPr>
            <w:tcW w:w="7100" w:type="dxa"/>
            <w:vAlign w:val="bottom"/>
            <w:tcBorders>
              <w:bottom w:val="single" w:sz="8" w:color="ACACAC"/>
            </w:tcBorders>
            <w:gridSpan w:val="2"/>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7100" w:type="dxa"/>
            <w:vAlign w:val="bottom"/>
            <w:tcBorders>
              <w:bottom w:val="single" w:sz="8" w:color="ACACAC"/>
            </w:tcBorders>
            <w:gridSpan w:val="2"/>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gridSpan w:val="2"/>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Pension and other postretirement remeasurement gains and losses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7100" w:type="dxa"/>
            <w:vAlign w:val="bottom"/>
            <w:tcBorders>
              <w:bottom w:val="single" w:sz="8" w:color="ACACAC"/>
            </w:tcBorders>
            <w:gridSpan w:val="2"/>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gridSpan w:val="2"/>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7100" w:type="dxa"/>
            <w:vAlign w:val="bottom"/>
            <w:tcBorders>
              <w:bottom w:val="single" w:sz="8" w:color="ACACAC"/>
            </w:tcBorders>
            <w:gridSpan w:val="2"/>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Other operating assets and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33"/>
        </w:trPr>
        <w:tc>
          <w:tcPr>
            <w:tcW w:w="7100" w:type="dxa"/>
            <w:vAlign w:val="bottom"/>
            <w:tcBorders>
              <w:bottom w:val="single" w:sz="8" w:color="005BA5"/>
            </w:tcBorders>
            <w:gridSpan w:val="2"/>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gridSpan w:val="2"/>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720"/>
              <w:spacing w:after="0"/>
              <w:rPr>
                <w:sz w:val="20"/>
                <w:szCs w:val="20"/>
                <w:color w:val="auto"/>
              </w:rPr>
            </w:pPr>
            <w:r>
              <w:rPr>
                <w:rFonts w:ascii="Arial" w:cs="Arial" w:eastAsia="Arial" w:hAnsi="Arial"/>
                <w:sz w:val="16"/>
                <w:szCs w:val="16"/>
                <w:b w:val="1"/>
                <w:bCs w:val="1"/>
                <w:color w:val="auto"/>
              </w:rPr>
              <w:t>Net cash provided by operating activities</w:t>
            </w:r>
          </w:p>
        </w:tc>
        <w:tc>
          <w:tcPr>
            <w:tcW w:w="52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714</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714</w:t>
            </w:r>
          </w:p>
        </w:tc>
      </w:tr>
      <w:tr>
        <w:trPr>
          <w:trHeight w:val="33"/>
        </w:trPr>
        <w:tc>
          <w:tcPr>
            <w:tcW w:w="7100" w:type="dxa"/>
            <w:vAlign w:val="bottom"/>
            <w:tcBorders>
              <w:bottom w:val="single" w:sz="8" w:color="005BA5"/>
            </w:tcBorders>
            <w:gridSpan w:val="2"/>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r>
      <w:tr>
        <w:trPr>
          <w:trHeight w:val="183"/>
        </w:trPr>
        <w:tc>
          <w:tcPr>
            <w:tcW w:w="6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257"/>
        </w:trPr>
        <w:tc>
          <w:tcPr>
            <w:tcW w:w="71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Condensed Consolidated Statements of Cash Flows (unaudited)</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16"/>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Previously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Impact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0"/>
        </w:trPr>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reported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change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As adjusted</w:t>
            </w:r>
          </w:p>
        </w:tc>
      </w:tr>
      <w:tr>
        <w:trPr>
          <w:trHeight w:val="33"/>
        </w:trPr>
        <w:tc>
          <w:tcPr>
            <w:tcW w:w="71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1666AF"/>
            </w:tcBorders>
          </w:tcPr>
          <w:p>
            <w:pPr>
              <w:spacing w:after="0"/>
              <w:rPr>
                <w:sz w:val="2"/>
                <w:szCs w:val="2"/>
                <w:color w:val="auto"/>
              </w:rPr>
            </w:pPr>
          </w:p>
        </w:tc>
        <w:tc>
          <w:tcPr>
            <w:tcW w:w="3800" w:type="dxa"/>
            <w:vAlign w:val="bottom"/>
            <w:tcBorders>
              <w:bottom w:val="single" w:sz="8" w:color="1666AF"/>
            </w:tcBorders>
            <w:gridSpan w:val="10"/>
          </w:tcPr>
          <w:p>
            <w:pPr>
              <w:spacing w:after="0"/>
              <w:rPr>
                <w:sz w:val="2"/>
                <w:szCs w:val="2"/>
                <w:color w:val="auto"/>
              </w:rPr>
            </w:pPr>
          </w:p>
        </w:tc>
      </w:tr>
      <w:tr>
        <w:trPr>
          <w:trHeight w:val="244"/>
        </w:trPr>
        <w:tc>
          <w:tcPr>
            <w:tcW w:w="7100" w:type="dxa"/>
            <w:vAlign w:val="bottom"/>
            <w:tcBorders>
              <w:bottom w:val="single" w:sz="8" w:color="005BA5"/>
            </w:tcBorders>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Borders>
              <w:bottom w:val="single" w:sz="8" w:color="005BA5"/>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005BA5"/>
            </w:tcBorders>
          </w:tcPr>
          <w:p>
            <w:pPr>
              <w:spacing w:after="0"/>
              <w:rPr>
                <w:sz w:val="21"/>
                <w:szCs w:val="21"/>
                <w:color w:val="auto"/>
              </w:rPr>
            </w:pPr>
          </w:p>
        </w:tc>
        <w:tc>
          <w:tcPr>
            <w:tcW w:w="3800" w:type="dxa"/>
            <w:vAlign w:val="bottom"/>
            <w:tcBorders>
              <w:bottom w:val="single" w:sz="8" w:color="005BA5"/>
            </w:tcBorders>
            <w:gridSpan w:val="10"/>
          </w:tcPr>
          <w:p>
            <w:pPr>
              <w:jc w:val="center"/>
              <w:ind w:right="79"/>
              <w:spacing w:after="0"/>
              <w:rPr>
                <w:sz w:val="20"/>
                <w:szCs w:val="20"/>
                <w:color w:val="auto"/>
              </w:rPr>
            </w:pPr>
            <w:r>
              <w:rPr>
                <w:rFonts w:ascii="Arial" w:cs="Arial" w:eastAsia="Arial" w:hAnsi="Arial"/>
                <w:sz w:val="16"/>
                <w:szCs w:val="16"/>
                <w:b w:val="1"/>
                <w:bCs w:val="1"/>
                <w:color w:val="auto"/>
                <w:w w:val="91"/>
              </w:rPr>
              <w:t>Three months ended March 31, 2018</w:t>
            </w:r>
          </w:p>
        </w:tc>
      </w:tr>
      <w:tr>
        <w:trPr>
          <w:trHeight w:val="23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7100" w:type="dxa"/>
            <w:vAlign w:val="bottom"/>
            <w:tcBorders>
              <w:bottom w:val="single" w:sz="8" w:color="ACACAC"/>
            </w:tcBorders>
            <w:gridSpan w:val="2"/>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gridSpan w:val="2"/>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975</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1,006</w:t>
            </w:r>
          </w:p>
        </w:tc>
      </w:tr>
      <w:tr>
        <w:trPr>
          <w:trHeight w:val="33"/>
        </w:trPr>
        <w:tc>
          <w:tcPr>
            <w:tcW w:w="7100" w:type="dxa"/>
            <w:vAlign w:val="bottom"/>
            <w:tcBorders>
              <w:bottom w:val="single" w:sz="8" w:color="ACACAC"/>
            </w:tcBorders>
            <w:gridSpan w:val="2"/>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31"/>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7100" w:type="dxa"/>
            <w:vAlign w:val="bottom"/>
            <w:tcBorders>
              <w:bottom w:val="single" w:sz="8" w:color="ACACAC"/>
            </w:tcBorders>
            <w:gridSpan w:val="2"/>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gridSpan w:val="2"/>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Pension and other postretirement remeasurement gains and losses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7100" w:type="dxa"/>
            <w:vAlign w:val="bottom"/>
            <w:tcBorders>
              <w:bottom w:val="single" w:sz="8" w:color="ACACAC"/>
            </w:tcBorders>
            <w:gridSpan w:val="2"/>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gridSpan w:val="2"/>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189</w:t>
            </w:r>
          </w:p>
        </w:tc>
      </w:tr>
      <w:tr>
        <w:trPr>
          <w:trHeight w:val="33"/>
        </w:trPr>
        <w:tc>
          <w:tcPr>
            <w:tcW w:w="7100" w:type="dxa"/>
            <w:vAlign w:val="bottom"/>
            <w:tcBorders>
              <w:bottom w:val="single" w:sz="8" w:color="ACACAC"/>
            </w:tcBorders>
            <w:gridSpan w:val="2"/>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280"/>
              <w:spacing w:after="0"/>
              <w:rPr>
                <w:sz w:val="20"/>
                <w:szCs w:val="20"/>
                <w:color w:val="auto"/>
              </w:rPr>
            </w:pPr>
            <w:r>
              <w:rPr>
                <w:rFonts w:ascii="Arial" w:cs="Arial" w:eastAsia="Arial" w:hAnsi="Arial"/>
                <w:sz w:val="16"/>
                <w:szCs w:val="16"/>
                <w:color w:val="auto"/>
              </w:rPr>
              <w:t>Other operating assets and liabilities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33"/>
        </w:trPr>
        <w:tc>
          <w:tcPr>
            <w:tcW w:w="7100" w:type="dxa"/>
            <w:vAlign w:val="bottom"/>
            <w:tcBorders>
              <w:bottom w:val="single" w:sz="8" w:color="005BA5"/>
            </w:tcBorders>
            <w:gridSpan w:val="2"/>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gridSpan w:val="2"/>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720"/>
              <w:spacing w:after="0"/>
              <w:rPr>
                <w:sz w:val="20"/>
                <w:szCs w:val="20"/>
                <w:color w:val="auto"/>
              </w:rPr>
            </w:pPr>
            <w:r>
              <w:rPr>
                <w:rFonts w:ascii="Arial" w:cs="Arial" w:eastAsia="Arial" w:hAnsi="Arial"/>
                <w:sz w:val="16"/>
                <w:szCs w:val="16"/>
                <w:b w:val="1"/>
                <w:bCs w:val="1"/>
                <w:color w:val="auto"/>
              </w:rPr>
              <w:t>Net cash provided by operating activities</w:t>
            </w:r>
          </w:p>
        </w:tc>
        <w:tc>
          <w:tcPr>
            <w:tcW w:w="52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626</w:t>
            </w:r>
          </w:p>
        </w:tc>
        <w:tc>
          <w:tcPr>
            <w:tcW w:w="4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626</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11</w:t>
      </w:r>
    </w:p>
    <w:p>
      <w:pPr>
        <w:sectPr>
          <w:pgSz w:w="11900" w:h="16838" w:orient="portrait"/>
          <w:cols w:equalWidth="0" w:num="1">
            <w:col w:w="11420"/>
          </w:cols>
          <w:pgMar w:left="240" w:top="141"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2</w:t>
      </w:r>
      <w:r>
        <w:rPr>
          <w:sz w:val="20"/>
          <w:szCs w:val="20"/>
          <w:color w:val="auto"/>
        </w:rPr>
        <w:tab/>
      </w:r>
      <w:r>
        <w:rPr>
          <w:rFonts w:ascii="Arial" w:cs="Arial" w:eastAsia="Arial" w:hAnsi="Arial"/>
          <w:sz w:val="19"/>
          <w:szCs w:val="19"/>
          <w:b w:val="1"/>
          <w:bCs w:val="1"/>
          <w:color w:val="auto"/>
        </w:rPr>
        <w:t>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164"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color w:val="auto"/>
        </w:rPr>
        <w:t>Basic earnings per common share is computed using the weighted average number of common shares outstanding, including vested unissued participating restricted stock units. Diluted earnings per common share is computed using the weighted average number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of common and dilutive potential common shares outstanding. For the Company, dilutive potential common shares consist of outstanding stock options and unvested non-participating restricted stock units and contingently issuable performance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-3663315</wp:posOffset>
            </wp:positionH>
            <wp:positionV relativeFrom="paragraph">
              <wp:posOffset>179070</wp:posOffset>
            </wp:positionV>
            <wp:extent cx="7143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540"/>
            <w:col w:w="5480"/>
          </w:cols>
          <w:pgMar w:left="240" w:top="141" w:right="239" w:bottom="1440" w:gutter="0" w:footer="0" w:header="0"/>
          <w:type w:val="continuous"/>
        </w:sectPr>
      </w:pP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Computation of basic and 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31750</wp:posOffset>
            </wp:positionV>
            <wp:extent cx="71437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70"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37465</wp:posOffset>
            </wp:positionV>
            <wp:extent cx="17754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66"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8320" w:type="dxa"/>
            <w:vAlign w:val="bottom"/>
            <w:tcBorders>
              <w:bottom w:val="single" w:sz="8" w:color="005BA5"/>
            </w:tcBorders>
          </w:tcPr>
          <w:p>
            <w:pPr>
              <w:ind w:left="20"/>
              <w:spacing w:after="0"/>
              <w:rPr>
                <w:sz w:val="20"/>
                <w:szCs w:val="20"/>
                <w:color w:val="auto"/>
              </w:rPr>
            </w:pPr>
            <w:r>
              <w:rPr>
                <w:rFonts w:ascii="Arial" w:cs="Arial" w:eastAsia="Arial" w:hAnsi="Arial"/>
                <w:sz w:val="14"/>
                <w:szCs w:val="14"/>
                <w:b w:val="1"/>
                <w:bCs w:val="1"/>
                <w:color w:val="auto"/>
              </w:rPr>
              <w:t>($ in millions, except per share data)</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20" w:type="dxa"/>
            <w:vAlign w:val="bottom"/>
            <w:tcBorders>
              <w:bottom w:val="single" w:sz="8" w:color="005BA5"/>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3"/>
        </w:trPr>
        <w:tc>
          <w:tcPr>
            <w:tcW w:w="8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8440" w:type="dxa"/>
            <w:vAlign w:val="bottom"/>
            <w:gridSpan w:val="2"/>
          </w:tcPr>
          <w:p>
            <w:pPr>
              <w:ind w:left="26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1,292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1,006</w:t>
            </w:r>
          </w:p>
        </w:tc>
      </w:tr>
      <w:tr>
        <w:trPr>
          <w:trHeight w:val="33"/>
        </w:trPr>
        <w:tc>
          <w:tcPr>
            <w:tcW w:w="8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8440" w:type="dxa"/>
            <w:vAlign w:val="bottom"/>
            <w:gridSpan w:val="2"/>
          </w:tcPr>
          <w:p>
            <w:pPr>
              <w:ind w:left="260"/>
              <w:spacing w:after="0"/>
              <w:rPr>
                <w:sz w:val="20"/>
                <w:szCs w:val="20"/>
                <w:color w:val="auto"/>
              </w:rPr>
            </w:pPr>
            <w:r>
              <w:rPr>
                <w:rFonts w:ascii="Arial" w:cs="Arial" w:eastAsia="Arial" w:hAnsi="Arial"/>
                <w:sz w:val="16"/>
                <w:szCs w:val="16"/>
                <w:color w:val="auto"/>
              </w:rPr>
              <w:t>Less: Preferred stock dividends</w:t>
            </w: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8320" w:type="dxa"/>
            <w:vAlign w:val="bottom"/>
            <w:tcBorders>
              <w:bottom w:val="single" w:sz="8" w:color="00497F"/>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497F"/>
            </w:tcBorders>
          </w:tcPr>
          <w:p>
            <w:pPr>
              <w:spacing w:after="0"/>
              <w:rPr>
                <w:sz w:val="2"/>
                <w:szCs w:val="2"/>
                <w:color w:val="auto"/>
              </w:rPr>
            </w:pPr>
          </w:p>
        </w:tc>
        <w:tc>
          <w:tcPr>
            <w:tcW w:w="1040" w:type="dxa"/>
            <w:vAlign w:val="bottom"/>
            <w:tcBorders>
              <w:bottom w:val="single" w:sz="8" w:color="00497F"/>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497F"/>
            </w:tcBorders>
          </w:tcPr>
          <w:p>
            <w:pPr>
              <w:spacing w:after="0"/>
              <w:rPr>
                <w:sz w:val="2"/>
                <w:szCs w:val="2"/>
                <w:color w:val="auto"/>
              </w:rPr>
            </w:pPr>
          </w:p>
        </w:tc>
        <w:tc>
          <w:tcPr>
            <w:tcW w:w="1020" w:type="dxa"/>
            <w:vAlign w:val="bottom"/>
            <w:tcBorders>
              <w:bottom w:val="single" w:sz="8" w:color="00497F"/>
            </w:tcBorders>
          </w:tcPr>
          <w:p>
            <w:pPr>
              <w:spacing w:after="0"/>
              <w:rPr>
                <w:sz w:val="2"/>
                <w:szCs w:val="2"/>
                <w:color w:val="auto"/>
              </w:rPr>
            </w:pPr>
          </w:p>
        </w:tc>
      </w:tr>
      <w:tr>
        <w:trPr>
          <w:trHeight w:val="244"/>
        </w:trPr>
        <w:tc>
          <w:tcPr>
            <w:tcW w:w="8440" w:type="dxa"/>
            <w:vAlign w:val="bottom"/>
            <w:gridSpan w:val="2"/>
          </w:tcPr>
          <w:p>
            <w:pPr>
              <w:ind w:left="260"/>
              <w:spacing w:after="0"/>
              <w:rPr>
                <w:sz w:val="20"/>
                <w:szCs w:val="20"/>
                <w:color w:val="auto"/>
              </w:rPr>
            </w:pPr>
            <w:r>
              <w:rPr>
                <w:rFonts w:ascii="Arial" w:cs="Arial" w:eastAsia="Arial" w:hAnsi="Arial"/>
                <w:sz w:val="16"/>
                <w:szCs w:val="16"/>
                <w:b w:val="1"/>
                <w:bCs w:val="1"/>
                <w:color w:val="auto"/>
              </w:rPr>
              <w:t>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1,261</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977</w:t>
            </w:r>
          </w:p>
        </w:tc>
      </w:tr>
      <w:tr>
        <w:trPr>
          <w:trHeight w:val="122"/>
        </w:trPr>
        <w:tc>
          <w:tcPr>
            <w:tcW w:w="8320" w:type="dxa"/>
            <w:vAlign w:val="bottom"/>
            <w:tcBorders>
              <w:top w:val="single" w:sz="8" w:color="00497F"/>
              <w:bottom w:val="single" w:sz="8" w:color="ACACAC"/>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00497F"/>
              <w:bottom w:val="single" w:sz="8" w:color="ACACAC"/>
            </w:tcBorders>
          </w:tcPr>
          <w:p>
            <w:pPr>
              <w:spacing w:after="0"/>
              <w:rPr>
                <w:sz w:val="10"/>
                <w:szCs w:val="10"/>
                <w:color w:val="auto"/>
              </w:rPr>
            </w:pPr>
          </w:p>
        </w:tc>
        <w:tc>
          <w:tcPr>
            <w:tcW w:w="1040" w:type="dxa"/>
            <w:vAlign w:val="bottom"/>
            <w:tcBorders>
              <w:top w:val="single" w:sz="8" w:color="00497F"/>
              <w:bottom w:val="single" w:sz="8" w:color="ACACAC"/>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00497F"/>
              <w:bottom w:val="single" w:sz="8" w:color="ACACAC"/>
            </w:tcBorders>
          </w:tcPr>
          <w:p>
            <w:pPr>
              <w:spacing w:after="0"/>
              <w:rPr>
                <w:sz w:val="10"/>
                <w:szCs w:val="10"/>
                <w:color w:val="auto"/>
              </w:rPr>
            </w:pPr>
          </w:p>
        </w:tc>
        <w:tc>
          <w:tcPr>
            <w:tcW w:w="1020" w:type="dxa"/>
            <w:vAlign w:val="bottom"/>
            <w:tcBorders>
              <w:top w:val="single" w:sz="8" w:color="00497F"/>
              <w:bottom w:val="single" w:sz="8" w:color="ACACAC"/>
            </w:tcBorders>
          </w:tcPr>
          <w:p>
            <w:pPr>
              <w:spacing w:after="0"/>
              <w:rPr>
                <w:sz w:val="10"/>
                <w:szCs w:val="10"/>
                <w:color w:val="auto"/>
              </w:rPr>
            </w:pPr>
          </w:p>
        </w:tc>
      </w:tr>
      <w:tr>
        <w:trPr>
          <w:trHeight w:val="217"/>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Denominator:</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8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8440" w:type="dxa"/>
            <w:vAlign w:val="bottom"/>
            <w:gridSpan w:val="2"/>
          </w:tcPr>
          <w:p>
            <w:pPr>
              <w:ind w:left="26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354.1</w:t>
            </w:r>
          </w:p>
        </w:tc>
      </w:tr>
      <w:tr>
        <w:trPr>
          <w:trHeight w:val="33"/>
        </w:trPr>
        <w:tc>
          <w:tcPr>
            <w:tcW w:w="8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8440" w:type="dxa"/>
            <w:vAlign w:val="bottom"/>
            <w:gridSpan w:val="2"/>
          </w:tcPr>
          <w:p>
            <w:pPr>
              <w:ind w:left="260"/>
              <w:spacing w:after="0"/>
              <w:rPr>
                <w:sz w:val="20"/>
                <w:szCs w:val="20"/>
                <w:color w:val="auto"/>
              </w:rPr>
            </w:pPr>
            <w:r>
              <w:rPr>
                <w:rFonts w:ascii="Arial" w:cs="Arial" w:eastAsia="Arial" w:hAnsi="Arial"/>
                <w:sz w:val="16"/>
                <w:szCs w:val="16"/>
                <w:color w:val="auto"/>
              </w:rPr>
              <w:t>Effect of dilutive potential common shares: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8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8440" w:type="dxa"/>
            <w:vAlign w:val="bottom"/>
            <w:gridSpan w:val="2"/>
          </w:tcPr>
          <w:p>
            <w:pPr>
              <w:ind w:left="480"/>
              <w:spacing w:after="0"/>
              <w:rPr>
                <w:sz w:val="20"/>
                <w:szCs w:val="20"/>
                <w:color w:val="auto"/>
              </w:rPr>
            </w:pPr>
            <w:r>
              <w:rPr>
                <w:rFonts w:ascii="Arial" w:cs="Arial" w:eastAsia="Arial" w:hAnsi="Arial"/>
                <w:sz w:val="16"/>
                <w:szCs w:val="16"/>
                <w:color w:val="auto"/>
              </w:rPr>
              <w:t>Stock options</w:t>
            </w: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8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8440" w:type="dxa"/>
            <w:vAlign w:val="bottom"/>
            <w:gridSpan w:val="2"/>
          </w:tcPr>
          <w:p>
            <w:pPr>
              <w:ind w:left="480"/>
              <w:spacing w:after="0"/>
              <w:rPr>
                <w:sz w:val="20"/>
                <w:szCs w:val="20"/>
                <w:color w:val="auto"/>
              </w:rPr>
            </w:pPr>
            <w:r>
              <w:rPr>
                <w:rFonts w:ascii="Arial" w:cs="Arial" w:eastAsia="Arial" w:hAnsi="Arial"/>
                <w:sz w:val="16"/>
                <w:szCs w:val="16"/>
                <w:color w:val="auto"/>
              </w:rPr>
              <w:t>Restricted stock units (non-participating) and performance stock awards</w:t>
            </w: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8320" w:type="dxa"/>
            <w:vAlign w:val="bottom"/>
            <w:tcBorders>
              <w:bottom w:val="single" w:sz="8" w:color="00497F"/>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497F"/>
            </w:tcBorders>
          </w:tcPr>
          <w:p>
            <w:pPr>
              <w:spacing w:after="0"/>
              <w:rPr>
                <w:sz w:val="2"/>
                <w:szCs w:val="2"/>
                <w:color w:val="auto"/>
              </w:rPr>
            </w:pPr>
          </w:p>
        </w:tc>
        <w:tc>
          <w:tcPr>
            <w:tcW w:w="1040" w:type="dxa"/>
            <w:vAlign w:val="bottom"/>
            <w:tcBorders>
              <w:bottom w:val="single" w:sz="8" w:color="00497F"/>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497F"/>
            </w:tcBorders>
          </w:tcPr>
          <w:p>
            <w:pPr>
              <w:spacing w:after="0"/>
              <w:rPr>
                <w:sz w:val="2"/>
                <w:szCs w:val="2"/>
                <w:color w:val="auto"/>
              </w:rPr>
            </w:pPr>
          </w:p>
        </w:tc>
        <w:tc>
          <w:tcPr>
            <w:tcW w:w="1020" w:type="dxa"/>
            <w:vAlign w:val="bottom"/>
            <w:tcBorders>
              <w:bottom w:val="single" w:sz="8" w:color="00497F"/>
            </w:tcBorders>
          </w:tcPr>
          <w:p>
            <w:pPr>
              <w:spacing w:after="0"/>
              <w:rPr>
                <w:sz w:val="2"/>
                <w:szCs w:val="2"/>
                <w:color w:val="auto"/>
              </w:rPr>
            </w:pPr>
          </w:p>
        </w:tc>
      </w:tr>
      <w:tr>
        <w:trPr>
          <w:trHeight w:val="217"/>
        </w:trPr>
        <w:tc>
          <w:tcPr>
            <w:tcW w:w="8440" w:type="dxa"/>
            <w:vAlign w:val="bottom"/>
            <w:gridSpan w:val="2"/>
          </w:tcPr>
          <w:p>
            <w:pPr>
              <w:ind w:left="260"/>
              <w:spacing w:after="0"/>
              <w:rPr>
                <w:sz w:val="20"/>
                <w:szCs w:val="20"/>
                <w:color w:val="auto"/>
              </w:rPr>
            </w:pPr>
            <w:r>
              <w:rPr>
                <w:rFonts w:ascii="Arial" w:cs="Arial" w:eastAsia="Arial" w:hAnsi="Arial"/>
                <w:sz w:val="16"/>
                <w:szCs w:val="16"/>
                <w:b w:val="1"/>
                <w:bCs w:val="1"/>
                <w:color w:val="auto"/>
              </w:rPr>
              <w:t>Weighted average common and dilutive potential common shares outstanding</w:t>
            </w:r>
          </w:p>
        </w:tc>
        <w:tc>
          <w:tcPr>
            <w:tcW w:w="320" w:type="dxa"/>
            <w:vAlign w:val="bottom"/>
          </w:tcPr>
          <w:p>
            <w:pPr>
              <w:spacing w:after="0"/>
              <w:rPr>
                <w:sz w:val="18"/>
                <w:szCs w:val="18"/>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337.5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359.9</w:t>
            </w:r>
          </w:p>
        </w:tc>
      </w:tr>
      <w:tr>
        <w:trPr>
          <w:trHeight w:val="33"/>
        </w:trPr>
        <w:tc>
          <w:tcPr>
            <w:tcW w:w="8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15"/>
        </w:trPr>
        <w:tc>
          <w:tcPr>
            <w:tcW w:w="8320" w:type="dxa"/>
            <w:vAlign w:val="bottom"/>
            <w:tcBorders>
              <w:top w:val="single" w:sz="8" w:color="00497F"/>
              <w:bottom w:val="single" w:sz="8" w:color="ACACAC"/>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00497F"/>
              <w:bottom w:val="single" w:sz="8" w:color="ACACAC"/>
            </w:tcBorders>
          </w:tcPr>
          <w:p>
            <w:pPr>
              <w:spacing w:after="0"/>
              <w:rPr>
                <w:sz w:val="10"/>
                <w:szCs w:val="10"/>
                <w:color w:val="auto"/>
              </w:rPr>
            </w:pPr>
          </w:p>
        </w:tc>
        <w:tc>
          <w:tcPr>
            <w:tcW w:w="1040" w:type="dxa"/>
            <w:vAlign w:val="bottom"/>
            <w:tcBorders>
              <w:top w:val="single" w:sz="8" w:color="00497F"/>
              <w:bottom w:val="single" w:sz="8" w:color="ACACAC"/>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00497F"/>
              <w:bottom w:val="single" w:sz="8" w:color="ACACAC"/>
            </w:tcBorders>
          </w:tcPr>
          <w:p>
            <w:pPr>
              <w:spacing w:after="0"/>
              <w:rPr>
                <w:sz w:val="10"/>
                <w:szCs w:val="10"/>
                <w:color w:val="auto"/>
              </w:rPr>
            </w:pPr>
          </w:p>
        </w:tc>
        <w:tc>
          <w:tcPr>
            <w:tcW w:w="1020" w:type="dxa"/>
            <w:vAlign w:val="bottom"/>
            <w:tcBorders>
              <w:top w:val="single" w:sz="8" w:color="00497F"/>
              <w:bottom w:val="single" w:sz="8" w:color="ACACAC"/>
            </w:tcBorders>
          </w:tcPr>
          <w:p>
            <w:pPr>
              <w:spacing w:after="0"/>
              <w:rPr>
                <w:sz w:val="10"/>
                <w:szCs w:val="10"/>
                <w:color w:val="auto"/>
              </w:rPr>
            </w:pPr>
          </w:p>
        </w:tc>
      </w:tr>
      <w:tr>
        <w:trPr>
          <w:trHeight w:val="217"/>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Earnings per common share - Basic</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2.76</w:t>
            </w:r>
          </w:p>
        </w:tc>
      </w:tr>
      <w:tr>
        <w:trPr>
          <w:trHeight w:val="33"/>
        </w:trPr>
        <w:tc>
          <w:tcPr>
            <w:tcW w:w="8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Earnings per common share - 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2.71</w:t>
            </w:r>
          </w:p>
        </w:tc>
      </w:tr>
      <w:tr>
        <w:trPr>
          <w:trHeight w:val="33"/>
        </w:trPr>
        <w:tc>
          <w:tcPr>
            <w:tcW w:w="8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type w:val="continuous"/>
        </w:sectPr>
      </w:pPr>
    </w:p>
    <w:p>
      <w:pPr>
        <w:spacing w:after="0" w:line="126"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The effect of dilutive potential common shares does not include the effect of options with an anti-dilutive effect on earnings per common share because their exercise prices exceed the average market price of Allstate common shares during the period or for which the unrecognized compensation cost would have an anti-dilutive effect.</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60" w:firstLine="324"/>
        <w:spacing w:after="0" w:line="251" w:lineRule="auto"/>
        <w:rPr>
          <w:sz w:val="20"/>
          <w:szCs w:val="20"/>
          <w:color w:val="auto"/>
        </w:rPr>
      </w:pPr>
      <w:r>
        <w:rPr>
          <w:rFonts w:ascii="Arial" w:cs="Arial" w:eastAsia="Arial" w:hAnsi="Arial"/>
          <w:sz w:val="16"/>
          <w:szCs w:val="16"/>
          <w:color w:val="auto"/>
        </w:rPr>
        <w:t>Options to purchase 4.0 million and 1.0 million Allstate common shares were outstanding for the three month periods ended March 31, 2019 and 2018, respectively, but were not included in the computation of diluted earnings per common share under the treasury stock method.</w:t>
      </w:r>
    </w:p>
    <w:p>
      <w:pPr>
        <w:spacing w:after="0" w:line="388" w:lineRule="exact"/>
        <w:rPr>
          <w:sz w:val="20"/>
          <w:szCs w:val="20"/>
          <w:color w:val="auto"/>
        </w:rPr>
      </w:pPr>
    </w:p>
    <w:p>
      <w:pPr>
        <w:sectPr>
          <w:pgSz w:w="11900" w:h="16838" w:orient="portrait"/>
          <w:cols w:equalWidth="0" w:num="2">
            <w:col w:w="5300" w:space="640"/>
            <w:col w:w="5480"/>
          </w:cols>
          <w:pgMar w:left="240" w:top="141" w:right="239" w:bottom="1440" w:gutter="0" w:footer="0" w:header="0"/>
          <w:type w:val="continuous"/>
        </w:sectPr>
      </w:pPr>
    </w:p>
    <w:p>
      <w:pPr>
        <w:spacing w:after="0" w:line="28"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3</w:t>
      </w:r>
      <w:r>
        <w:rPr>
          <w:sz w:val="20"/>
          <w:szCs w:val="20"/>
          <w:color w:val="auto"/>
        </w:rPr>
        <w:tab/>
      </w:r>
      <w:r>
        <w:rPr>
          <w:rFonts w:ascii="Arial" w:cs="Arial" w:eastAsia="Arial" w:hAnsi="Arial"/>
          <w:sz w:val="19"/>
          <w:szCs w:val="19"/>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p>
      <w:pPr>
        <w:spacing w:after="0" w:line="9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6"/>
          <w:szCs w:val="16"/>
          <w:i w:val="1"/>
          <w:iCs w:val="1"/>
          <w:color w:val="1666AF"/>
        </w:rPr>
        <w:t xml:space="preserve">iCracked </w:t>
      </w:r>
      <w:r>
        <w:rPr>
          <w:rFonts w:ascii="Arial" w:cs="Arial" w:eastAsia="Arial" w:hAnsi="Arial"/>
          <w:sz w:val="16"/>
          <w:szCs w:val="16"/>
          <w:color w:val="000000"/>
        </w:rPr>
        <w:t>On February 12, 2019, the Company acquired iCracked Inc.</w:t>
      </w:r>
      <w:r>
        <w:rPr>
          <w:rFonts w:ascii="Arial" w:cs="Arial" w:eastAsia="Arial" w:hAnsi="Arial"/>
          <w:sz w:val="16"/>
          <w:szCs w:val="16"/>
          <w:i w:val="1"/>
          <w:iCs w:val="1"/>
          <w:color w:val="1666AF"/>
        </w:rPr>
        <w:t xml:space="preserve"> </w:t>
      </w:r>
      <w:r>
        <w:rPr>
          <w:rFonts w:ascii="Arial" w:cs="Arial" w:eastAsia="Arial" w:hAnsi="Arial"/>
          <w:sz w:val="16"/>
          <w:szCs w:val="16"/>
          <w:color w:val="000000"/>
        </w:rPr>
        <w:t>(“iCracked”) which offers on-site, on-demand repair services for smartphones and tablets in North America, supporting SquareTrade’s operations. In conjunction with the iCracked acquisition, the Company recorded goodwill of $17 million.</w:t>
      </w:r>
    </w:p>
    <w:p>
      <w:pPr>
        <w:spacing w:after="0" w:line="76"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i w:val="1"/>
          <w:iCs w:val="1"/>
          <w:color w:val="1666AF"/>
        </w:rPr>
        <w:t xml:space="preserve">PlumChoice </w:t>
      </w:r>
      <w:r>
        <w:rPr>
          <w:rFonts w:ascii="Arial" w:cs="Arial" w:eastAsia="Arial" w:hAnsi="Arial"/>
          <w:sz w:val="16"/>
          <w:szCs w:val="16"/>
          <w:color w:val="000000"/>
        </w:rPr>
        <w:t>On November 30, 2018, the Company acquired</w:t>
      </w:r>
      <w:r>
        <w:rPr>
          <w:rFonts w:ascii="Arial" w:cs="Arial" w:eastAsia="Arial" w:hAnsi="Arial"/>
          <w:sz w:val="16"/>
          <w:szCs w:val="16"/>
          <w:i w:val="1"/>
          <w:iCs w:val="1"/>
          <w:color w:val="1666AF"/>
        </w:rPr>
        <w:t xml:space="preserve"> </w:t>
      </w:r>
      <w:r>
        <w:rPr>
          <w:rFonts w:ascii="Arial" w:cs="Arial" w:eastAsia="Arial" w:hAnsi="Arial"/>
          <w:sz w:val="16"/>
          <w:szCs w:val="16"/>
          <w:color w:val="000000"/>
        </w:rPr>
        <w:t>PlumChoice, Inc. (“PlumChoice”) for $30 million in cash to provide technical support services to SquareTrade’s customers and small businesses. In conjunction with the PlumChoice acquisition, the Company recorded goodwill of $23 million.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right="60" w:firstLine="324"/>
        <w:spacing w:after="0" w:line="252" w:lineRule="auto"/>
        <w:rPr>
          <w:sz w:val="20"/>
          <w:szCs w:val="20"/>
          <w:color w:val="auto"/>
        </w:rPr>
      </w:pPr>
      <w:r>
        <w:rPr>
          <w:rFonts w:ascii="Arial" w:cs="Arial" w:eastAsia="Arial" w:hAnsi="Arial"/>
          <w:sz w:val="16"/>
          <w:szCs w:val="16"/>
          <w:i w:val="1"/>
          <w:iCs w:val="1"/>
          <w:color w:val="1666AF"/>
        </w:rPr>
        <w:t xml:space="preserve">InfoArmor </w:t>
      </w:r>
      <w:r>
        <w:rPr>
          <w:rFonts w:ascii="Arial" w:cs="Arial" w:eastAsia="Arial" w:hAnsi="Arial"/>
          <w:sz w:val="16"/>
          <w:szCs w:val="16"/>
          <w:color w:val="000000"/>
        </w:rPr>
        <w:t>On October 5, 2018, the Company acquired InfoArmor, Inc.</w:t>
      </w:r>
      <w:r>
        <w:rPr>
          <w:rFonts w:ascii="Arial" w:cs="Arial" w:eastAsia="Arial" w:hAnsi="Arial"/>
          <w:sz w:val="16"/>
          <w:szCs w:val="16"/>
          <w:i w:val="1"/>
          <w:iCs w:val="1"/>
          <w:color w:val="1666AF"/>
        </w:rPr>
        <w:t xml:space="preserve"> </w:t>
      </w:r>
      <w:r>
        <w:rPr>
          <w:rFonts w:ascii="Arial" w:cs="Arial" w:eastAsia="Arial" w:hAnsi="Arial"/>
          <w:sz w:val="16"/>
          <w:szCs w:val="16"/>
          <w:color w:val="000000"/>
        </w:rPr>
        <w:t>(“InfoArmor”), a leading provider of identity protection in the employee benefits market, for $525 million in cash. InfoArmor primarily offers identity protection to employees and their family members through voluntary benefit programs at over 1,400 firms, including more than 100 of the Fortune 500 companies. Starting in the fourth quarter of 2018, the Service Businesses segment includes the results of InfoArmor.</w:t>
      </w:r>
    </w:p>
    <w:p>
      <w:pPr>
        <w:spacing w:after="0" w:line="95" w:lineRule="exact"/>
        <w:rPr>
          <w:sz w:val="20"/>
          <w:szCs w:val="20"/>
          <w:color w:val="auto"/>
        </w:rPr>
      </w:pPr>
    </w:p>
    <w:p>
      <w:pPr>
        <w:ind w:right="40" w:firstLine="324"/>
        <w:spacing w:after="0" w:line="251" w:lineRule="auto"/>
        <w:rPr>
          <w:sz w:val="20"/>
          <w:szCs w:val="20"/>
          <w:color w:val="auto"/>
        </w:rPr>
      </w:pPr>
      <w:r>
        <w:rPr>
          <w:rFonts w:ascii="Arial" w:cs="Arial" w:eastAsia="Arial" w:hAnsi="Arial"/>
          <w:sz w:val="16"/>
          <w:szCs w:val="16"/>
          <w:color w:val="auto"/>
        </w:rPr>
        <w:t>In connection with the InfoArmor acquisition, the Company recorded goodwill of $318 million and intangible assets of $257 million. The intangible assets include $225 million and $32 million related to acquired customer relationships and technology, respectively.</w:t>
      </w:r>
    </w:p>
    <w:p>
      <w:pPr>
        <w:spacing w:after="0" w:line="200" w:lineRule="exact"/>
        <w:rPr>
          <w:sz w:val="20"/>
          <w:szCs w:val="20"/>
          <w:color w:val="auto"/>
        </w:rPr>
      </w:pPr>
    </w:p>
    <w:p>
      <w:pPr>
        <w:sectPr>
          <w:pgSz w:w="11900" w:h="16838" w:orient="portrait"/>
          <w:cols w:equalWidth="0" w:num="2">
            <w:col w:w="5420" w:space="520"/>
            <w:col w:w="5480"/>
          </w:cols>
          <w:pgMar w:left="240" w:top="141" w:right="23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12 </w:t>
      </w:r>
      <w:r>
        <w:rPr>
          <w:sz w:val="1"/>
          <w:szCs w:val="1"/>
          <w:color w:val="auto"/>
        </w:rPr>
        <w:drawing>
          <wp:inline distT="0" distB="0" distL="0" distR="0">
            <wp:extent cx="111760" cy="1117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15" w:name="page16"/>
    <w:bookmarkEnd w:id="15"/>
    <w:p>
      <w:pPr>
        <w:jc w:val="right"/>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4</w:t>
      </w:r>
      <w:r>
        <w:rPr>
          <w:sz w:val="20"/>
          <w:szCs w:val="20"/>
          <w:color w:val="auto"/>
        </w:rPr>
        <w:tab/>
      </w:r>
      <w:r>
        <w:rPr>
          <w:rFonts w:ascii="Arial" w:cs="Arial" w:eastAsia="Arial" w:hAnsi="Arial"/>
          <w:sz w:val="19"/>
          <w:szCs w:val="19"/>
          <w:b w:val="1"/>
          <w:bCs w:val="1"/>
          <w:color w:val="auto"/>
        </w:rPr>
        <w:t>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Change in accounting principle</w:t>
      </w:r>
    </w:p>
    <w:p>
      <w:pPr>
        <w:spacing w:after="0" w:line="133" w:lineRule="exact"/>
        <w:rPr>
          <w:sz w:val="20"/>
          <w:szCs w:val="20"/>
          <w:color w:val="auto"/>
        </w:rPr>
      </w:pPr>
    </w:p>
    <w:p>
      <w:pPr>
        <w:ind w:right="40" w:firstLine="324"/>
        <w:spacing w:after="0" w:line="248" w:lineRule="auto"/>
        <w:rPr>
          <w:sz w:val="20"/>
          <w:szCs w:val="20"/>
          <w:color w:val="auto"/>
        </w:rPr>
      </w:pPr>
      <w:r>
        <w:rPr>
          <w:rFonts w:ascii="Arial" w:cs="Arial" w:eastAsia="Arial" w:hAnsi="Arial"/>
          <w:sz w:val="16"/>
          <w:szCs w:val="16"/>
          <w:color w:val="auto"/>
        </w:rPr>
        <w:t>As discussed in Note 1, the Company changed its accounting principle for recognizing actuarial gains and losses and expected return on plan assets for its pension and other postretirement plans to a more preferable policy under U.S. GAAP. Under the new principle, remeasurement of projected benefit obligation and plan assets are immediately recognized through earnings and are referred to as pension and other postretirement remeasurement gains and losses on the Condensed Consolidated Statements of Operations. This change has been applied on a retrospective basis. See Note 1 for further information regarding the impact of the change in accounting principle on the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Measuring segment profit or loss</w:t>
      </w:r>
    </w:p>
    <w:p>
      <w:pPr>
        <w:spacing w:after="0" w:line="133"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The measure of segment profit or loss used in evaluating performance is underwriting income for the Allstate Protection and Discontinued Lines and Coverages segments and adjusted net income for the Service Businesses, Allstate Life, Allstate Benefits, Allstate Annuities, and Corporate and Other segments. A reconciliation of these measures to net income applicable to common shareholders is provided below.</w:t>
      </w:r>
    </w:p>
    <w:p>
      <w:pPr>
        <w:spacing w:after="0" w:line="81" w:lineRule="exact"/>
        <w:rPr>
          <w:sz w:val="20"/>
          <w:szCs w:val="20"/>
          <w:color w:val="auto"/>
        </w:rPr>
      </w:pPr>
    </w:p>
    <w:p>
      <w:pPr>
        <w:ind w:right="480" w:firstLine="324"/>
        <w:spacing w:after="0" w:line="281" w:lineRule="auto"/>
        <w:rPr>
          <w:sz w:val="20"/>
          <w:szCs w:val="20"/>
          <w:color w:val="auto"/>
        </w:rPr>
      </w:pPr>
      <w:r>
        <w:rPr>
          <w:rFonts w:ascii="Arial" w:cs="Arial" w:eastAsia="Arial" w:hAnsi="Arial"/>
          <w:sz w:val="16"/>
          <w:szCs w:val="16"/>
          <w:i w:val="1"/>
          <w:iCs w:val="1"/>
          <w:color w:val="1666AF"/>
        </w:rPr>
        <w:t xml:space="preserve">Underwriting income </w:t>
      </w:r>
      <w:r>
        <w:rPr>
          <w:rFonts w:ascii="Arial" w:cs="Arial" w:eastAsia="Arial" w:hAnsi="Arial"/>
          <w:sz w:val="16"/>
          <w:szCs w:val="16"/>
          <w:color w:val="000000"/>
        </w:rPr>
        <w:t>is calculated as premiums earned and other</w:t>
      </w:r>
      <w:r>
        <w:rPr>
          <w:rFonts w:ascii="Arial" w:cs="Arial" w:eastAsia="Arial" w:hAnsi="Arial"/>
          <w:sz w:val="16"/>
          <w:szCs w:val="16"/>
          <w:i w:val="1"/>
          <w:iCs w:val="1"/>
          <w:color w:val="1666AF"/>
        </w:rPr>
        <w:t xml:space="preserve"> </w:t>
      </w:r>
      <w:r>
        <w:rPr>
          <w:rFonts w:ascii="Arial" w:cs="Arial" w:eastAsia="Arial" w:hAnsi="Arial"/>
          <w:sz w:val="16"/>
          <w:szCs w:val="16"/>
          <w:color w:val="000000"/>
        </w:rPr>
        <w:t>revenue, less claims and claims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expenses (“losses”), amortization of DAC, operating costs and expenses, amortization of purchased intangible assets and restructuring and related charges as determined using GAAP.</w:t>
      </w:r>
    </w:p>
    <w:p>
      <w:pPr>
        <w:spacing w:after="0" w:line="77" w:lineRule="exact"/>
        <w:rPr>
          <w:sz w:val="20"/>
          <w:szCs w:val="20"/>
          <w:color w:val="auto"/>
        </w:rPr>
      </w:pPr>
    </w:p>
    <w:p>
      <w:pPr>
        <w:ind w:right="40" w:firstLine="324"/>
        <w:spacing w:after="0" w:line="281" w:lineRule="auto"/>
        <w:rPr>
          <w:sz w:val="20"/>
          <w:szCs w:val="20"/>
          <w:color w:val="auto"/>
        </w:rPr>
      </w:pPr>
      <w:r>
        <w:rPr>
          <w:rFonts w:ascii="Arial" w:cs="Arial" w:eastAsia="Arial" w:hAnsi="Arial"/>
          <w:sz w:val="16"/>
          <w:szCs w:val="16"/>
          <w:i w:val="1"/>
          <w:iCs w:val="1"/>
          <w:color w:val="1666AF"/>
        </w:rPr>
        <w:t xml:space="preserve">Adjusted net income </w:t>
      </w:r>
      <w:r>
        <w:rPr>
          <w:rFonts w:ascii="Arial" w:cs="Arial" w:eastAsia="Arial" w:hAnsi="Arial"/>
          <w:sz w:val="16"/>
          <w:szCs w:val="16"/>
          <w:color w:val="000000"/>
        </w:rPr>
        <w:t>is net income applicable to common shareholders,</w:t>
      </w:r>
      <w:r>
        <w:rPr>
          <w:rFonts w:ascii="Arial" w:cs="Arial" w:eastAsia="Arial" w:hAnsi="Arial"/>
          <w:sz w:val="16"/>
          <w:szCs w:val="16"/>
          <w:i w:val="1"/>
          <w:iCs w:val="1"/>
          <w:color w:val="1666AF"/>
        </w:rPr>
        <w:t xml:space="preserve"> </w:t>
      </w:r>
      <w:r>
        <w:rPr>
          <w:rFonts w:ascii="Arial" w:cs="Arial" w:eastAsia="Arial" w:hAnsi="Arial"/>
          <w:sz w:val="16"/>
          <w:szCs w:val="16"/>
          <w:color w:val="000000"/>
        </w:rPr>
        <w:t>excluding: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60960</wp:posOffset>
            </wp:positionV>
            <wp:extent cx="34734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07" w:lineRule="exact"/>
        <w:rPr>
          <w:sz w:val="20"/>
          <w:szCs w:val="20"/>
          <w:color w:val="auto"/>
        </w:rPr>
      </w:pPr>
    </w:p>
    <w:p>
      <w:pPr>
        <w:ind w:left="200" w:right="160" w:hanging="167"/>
        <w:spacing w:after="0" w:line="305" w:lineRule="auto"/>
        <w:tabs>
          <w:tab w:leader="none" w:pos="135" w:val="left"/>
        </w:tabs>
        <w:numPr>
          <w:ilvl w:val="0"/>
          <w:numId w:val="5"/>
        </w:numPr>
        <w:rPr>
          <w:rFonts w:ascii="Arial" w:cs="Arial" w:eastAsia="Arial" w:hAnsi="Arial"/>
          <w:sz w:val="15"/>
          <w:szCs w:val="15"/>
          <w:color w:val="005BA5"/>
        </w:rPr>
      </w:pPr>
      <w:r>
        <w:rPr>
          <w:rFonts w:ascii="Arial" w:cs="Arial" w:eastAsia="Arial" w:hAnsi="Arial"/>
          <w:sz w:val="15"/>
          <w:szCs w:val="15"/>
          <w:color w:val="auto"/>
        </w:rPr>
        <w:t>Realized capital gains and losses, after-tax, except for periodic settlements and accruals on non-hedge derivative instruments, which are reported with realized capital gains and losses but included in adjusted net income</w:t>
      </w:r>
    </w:p>
    <w:p>
      <w:pPr>
        <w:spacing w:after="0" w:line="17" w:lineRule="exact"/>
        <w:rPr>
          <w:rFonts w:ascii="Arial" w:cs="Arial" w:eastAsia="Arial" w:hAnsi="Arial"/>
          <w:sz w:val="15"/>
          <w:szCs w:val="15"/>
          <w:color w:val="005BA5"/>
        </w:rPr>
      </w:pPr>
    </w:p>
    <w:p>
      <w:pPr>
        <w:ind w:left="140" w:hanging="107"/>
        <w:spacing w:after="0"/>
        <w:tabs>
          <w:tab w:leader="none" w:pos="140" w:val="left"/>
        </w:tabs>
        <w:numPr>
          <w:ilvl w:val="0"/>
          <w:numId w:val="5"/>
        </w:numPr>
        <w:rPr>
          <w:rFonts w:ascii="Arial" w:cs="Arial" w:eastAsia="Arial" w:hAnsi="Arial"/>
          <w:sz w:val="15"/>
          <w:szCs w:val="15"/>
          <w:color w:val="005BA5"/>
        </w:rPr>
      </w:pPr>
      <w:r>
        <w:rPr>
          <w:rFonts w:ascii="Arial" w:cs="Arial" w:eastAsia="Arial" w:hAnsi="Arial"/>
          <w:sz w:val="15"/>
          <w:szCs w:val="15"/>
          <w:color w:val="auto"/>
        </w:rPr>
        <w:t>Pension and other postretirement remeasurement gains and losses, after-tax</w:t>
      </w:r>
    </w:p>
    <w:p>
      <w:pPr>
        <w:spacing w:after="0" w:line="97" w:lineRule="exact"/>
        <w:rPr>
          <w:rFonts w:ascii="Arial" w:cs="Arial" w:eastAsia="Arial" w:hAnsi="Arial"/>
          <w:sz w:val="15"/>
          <w:szCs w:val="15"/>
          <w:color w:val="005BA5"/>
        </w:rPr>
      </w:pPr>
    </w:p>
    <w:p>
      <w:pPr>
        <w:ind w:left="140" w:hanging="107"/>
        <w:spacing w:after="0"/>
        <w:tabs>
          <w:tab w:leader="none" w:pos="140" w:val="left"/>
        </w:tabs>
        <w:numPr>
          <w:ilvl w:val="0"/>
          <w:numId w:val="5"/>
        </w:numPr>
        <w:rPr>
          <w:rFonts w:ascii="Arial" w:cs="Arial" w:eastAsia="Arial" w:hAnsi="Arial"/>
          <w:sz w:val="16"/>
          <w:szCs w:val="16"/>
          <w:color w:val="005BA5"/>
        </w:rPr>
      </w:pPr>
      <w:r>
        <w:rPr>
          <w:rFonts w:ascii="Arial" w:cs="Arial" w:eastAsia="Arial" w:hAnsi="Arial"/>
          <w:sz w:val="16"/>
          <w:szCs w:val="16"/>
          <w:color w:val="auto"/>
        </w:rPr>
        <w:t>Valuation changes on embedded derivatives not hedged, after-tax</w:t>
      </w:r>
    </w:p>
    <w:p>
      <w:pPr>
        <w:spacing w:after="0" w:line="288" w:lineRule="exact"/>
        <w:rPr>
          <w:rFonts w:ascii="Arial" w:cs="Arial" w:eastAsia="Arial" w:hAnsi="Arial"/>
          <w:sz w:val="16"/>
          <w:szCs w:val="16"/>
          <w:color w:val="005BA5"/>
        </w:rPr>
      </w:pPr>
    </w:p>
    <w:p>
      <w:pPr>
        <w:ind w:left="200" w:right="40" w:hanging="167"/>
        <w:spacing w:after="0" w:line="278" w:lineRule="auto"/>
        <w:tabs>
          <w:tab w:leader="none" w:pos="135" w:val="left"/>
        </w:tabs>
        <w:numPr>
          <w:ilvl w:val="0"/>
          <w:numId w:val="5"/>
        </w:numPr>
        <w:rPr>
          <w:rFonts w:ascii="Arial" w:cs="Arial" w:eastAsia="Arial" w:hAnsi="Arial"/>
          <w:sz w:val="16"/>
          <w:szCs w:val="16"/>
          <w:color w:val="005BA5"/>
        </w:rPr>
      </w:pPr>
      <w:r>
        <w:rPr>
          <w:rFonts w:ascii="Arial" w:cs="Arial" w:eastAsia="Arial" w:hAnsi="Arial"/>
          <w:sz w:val="16"/>
          <w:szCs w:val="16"/>
          <w:color w:val="auto"/>
        </w:rPr>
        <w:t>Amortization of DAC and DSI, to the extent they resulted from the recognition of certain realized capital gains and losses or valuation changes on embedded derivatives not hedged, after-tax</w:t>
      </w:r>
    </w:p>
    <w:p>
      <w:pPr>
        <w:spacing w:after="0" w:line="35" w:lineRule="exact"/>
        <w:rPr>
          <w:rFonts w:ascii="Arial" w:cs="Arial" w:eastAsia="Arial" w:hAnsi="Arial"/>
          <w:sz w:val="16"/>
          <w:szCs w:val="16"/>
          <w:color w:val="005BA5"/>
        </w:rPr>
      </w:pPr>
    </w:p>
    <w:p>
      <w:pPr>
        <w:ind w:left="200" w:right="320" w:hanging="167"/>
        <w:spacing w:after="0" w:line="293" w:lineRule="auto"/>
        <w:tabs>
          <w:tab w:leader="none" w:pos="176" w:val="left"/>
        </w:tabs>
        <w:numPr>
          <w:ilvl w:val="0"/>
          <w:numId w:val="5"/>
        </w:numPr>
        <w:rPr>
          <w:rFonts w:ascii="Arial" w:cs="Arial" w:eastAsia="Arial" w:hAnsi="Arial"/>
          <w:sz w:val="16"/>
          <w:szCs w:val="16"/>
          <w:color w:val="005BA5"/>
        </w:rPr>
      </w:pPr>
      <w:r>
        <w:rPr>
          <w:rFonts w:ascii="Arial" w:cs="Arial" w:eastAsia="Arial" w:hAnsi="Arial"/>
          <w:sz w:val="16"/>
          <w:szCs w:val="16"/>
          <w:color w:val="auto"/>
        </w:rPr>
        <w:t>Business combination expenses and the amortization of purchased intangible assets, after-tax</w:t>
      </w:r>
    </w:p>
    <w:p>
      <w:pPr>
        <w:spacing w:after="0" w:line="23" w:lineRule="exact"/>
        <w:rPr>
          <w:rFonts w:ascii="Arial" w:cs="Arial" w:eastAsia="Arial" w:hAnsi="Arial"/>
          <w:sz w:val="16"/>
          <w:szCs w:val="16"/>
          <w:color w:val="005BA5"/>
        </w:rPr>
      </w:pPr>
    </w:p>
    <w:p>
      <w:pPr>
        <w:ind w:left="140" w:hanging="107"/>
        <w:spacing w:after="0"/>
        <w:tabs>
          <w:tab w:leader="none" w:pos="140" w:val="left"/>
        </w:tabs>
        <w:numPr>
          <w:ilvl w:val="0"/>
          <w:numId w:val="5"/>
        </w:numPr>
        <w:rPr>
          <w:rFonts w:ascii="Arial" w:cs="Arial" w:eastAsia="Arial" w:hAnsi="Arial"/>
          <w:sz w:val="16"/>
          <w:szCs w:val="16"/>
          <w:color w:val="005BA5"/>
        </w:rPr>
      </w:pPr>
      <w:r>
        <w:rPr>
          <w:rFonts w:ascii="Arial" w:cs="Arial" w:eastAsia="Arial" w:hAnsi="Arial"/>
          <w:sz w:val="16"/>
          <w:szCs w:val="16"/>
          <w:color w:val="auto"/>
        </w:rPr>
        <w:t>Gain (loss) on disposition of operations, after-tax</w:t>
      </w:r>
    </w:p>
    <w:p>
      <w:pPr>
        <w:spacing w:after="0" w:line="86" w:lineRule="exact"/>
        <w:rPr>
          <w:rFonts w:ascii="Arial" w:cs="Arial" w:eastAsia="Arial" w:hAnsi="Arial"/>
          <w:sz w:val="16"/>
          <w:szCs w:val="16"/>
          <w:color w:val="005BA5"/>
        </w:rPr>
      </w:pPr>
    </w:p>
    <w:p>
      <w:pPr>
        <w:jc w:val="both"/>
        <w:ind w:left="200" w:right="60" w:hanging="167"/>
        <w:spacing w:after="0" w:line="273" w:lineRule="auto"/>
        <w:tabs>
          <w:tab w:leader="none" w:pos="135" w:val="left"/>
        </w:tabs>
        <w:numPr>
          <w:ilvl w:val="0"/>
          <w:numId w:val="5"/>
        </w:numPr>
        <w:rPr>
          <w:rFonts w:ascii="Arial" w:cs="Arial" w:eastAsia="Arial" w:hAnsi="Arial"/>
          <w:sz w:val="16"/>
          <w:szCs w:val="16"/>
          <w:color w:val="005BA5"/>
        </w:rPr>
      </w:pPr>
      <w:r>
        <w:rPr>
          <w:rFonts w:ascii="Arial" w:cs="Arial" w:eastAsia="Arial" w:hAnsi="Arial"/>
          <w:sz w:val="16"/>
          <w:szCs w:val="16"/>
          <w:color w:val="auto"/>
        </w:rPr>
        <w:t>Adjustments for other significant non-recurring, infrequent or unusual items, when (a) the nature of the charge or gain is such that it is reasonably unlikely to recur within two years, or (b) there has been no similar charge or gain within the prior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34734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-550545</wp:posOffset>
            </wp:positionV>
            <wp:extent cx="34734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-721995</wp:posOffset>
            </wp:positionV>
            <wp:extent cx="34734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-1022350</wp:posOffset>
            </wp:positionV>
            <wp:extent cx="34734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-1450975</wp:posOffset>
            </wp:positionV>
            <wp:extent cx="34734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-1751330</wp:posOffset>
            </wp:positionV>
            <wp:extent cx="34734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-1922780</wp:posOffset>
            </wp:positionV>
            <wp:extent cx="34734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200" w:lineRule="exact"/>
        <w:rPr>
          <w:sz w:val="20"/>
          <w:szCs w:val="20"/>
          <w:color w:val="auto"/>
        </w:rPr>
      </w:pPr>
    </w:p>
    <w:p>
      <w:pPr>
        <w:spacing w:after="0" w:line="328"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13</w:t>
      </w:r>
    </w:p>
    <w:p>
      <w:pPr>
        <w:sectPr>
          <w:pgSz w:w="11900" w:h="16838" w:orient="portrait"/>
          <w:cols w:equalWidth="0" w:num="1">
            <w:col w:w="11420"/>
          </w:cols>
          <w:pgMar w:left="240" w:top="141" w:right="2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499110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Reportable segments revenue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Property-Liability</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Insurance premiums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Auto</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5,930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5,591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Homeowners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1,848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Other personal lines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Commercial lines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Allstate Protection</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8,019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Discontinued Lines and Coverages</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Total property-liability insurance premiums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8,019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Property-Liability</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9,471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8,435</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60" w:type="dxa"/>
            <w:vAlign w:val="bottom"/>
            <w:tcBorders>
              <w:top w:val="single" w:sz="8" w:color="005BA5"/>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40" w:type="dxa"/>
            <w:vAlign w:val="bottom"/>
            <w:tcBorders>
              <w:top w:val="single" w:sz="8" w:color="005BA5"/>
              <w:bottom w:val="single" w:sz="8" w:color="auto"/>
            </w:tcBorders>
          </w:tcPr>
          <w:p>
            <w:pPr>
              <w:spacing w:after="0"/>
              <w:rPr>
                <w:sz w:val="13"/>
                <w:szCs w:val="13"/>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Service Businesses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Consumer product protection plans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Roadside assistance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Finance and insurance products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Intersegment premiums and service fees </w:t>
            </w:r>
            <w:r>
              <w:rPr>
                <w:rFonts w:ascii="Arial" w:cs="Arial" w:eastAsia="Arial" w:hAnsi="Arial"/>
                <w:sz w:val="27"/>
                <w:szCs w:val="27"/>
                <w:color w:val="005BA5"/>
                <w:vertAlign w:val="superscript"/>
              </w:rPr>
              <w:t>(1)</w:t>
            </w:r>
          </w:p>
        </w:tc>
        <w:tc>
          <w:tcPr>
            <w:tcW w:w="12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Service Businesses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313</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15"/>
        </w:trPr>
        <w:tc>
          <w:tcPr>
            <w:tcW w:w="8460" w:type="dxa"/>
            <w:vAlign w:val="bottom"/>
            <w:tcBorders>
              <w:top w:val="single" w:sz="8" w:color="005BA5"/>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005BA5"/>
              <w:bottom w:val="single" w:sz="8" w:color="auto"/>
            </w:tcBorders>
          </w:tcPr>
          <w:p>
            <w:pPr>
              <w:spacing w:after="0"/>
              <w:rPr>
                <w:sz w:val="10"/>
                <w:szCs w:val="10"/>
                <w:color w:val="auto"/>
              </w:rPr>
            </w:pPr>
          </w:p>
        </w:tc>
        <w:tc>
          <w:tcPr>
            <w:tcW w:w="1060" w:type="dxa"/>
            <w:vAlign w:val="bottom"/>
            <w:tcBorders>
              <w:top w:val="single" w:sz="8" w:color="005BA5"/>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005BA5"/>
              <w:bottom w:val="single" w:sz="8" w:color="auto"/>
            </w:tcBorders>
          </w:tcPr>
          <w:p>
            <w:pPr>
              <w:spacing w:after="0"/>
              <w:rPr>
                <w:sz w:val="10"/>
                <w:szCs w:val="10"/>
                <w:color w:val="auto"/>
              </w:rPr>
            </w:pPr>
          </w:p>
        </w:tc>
        <w:tc>
          <w:tcPr>
            <w:tcW w:w="1040" w:type="dxa"/>
            <w:vAlign w:val="bottom"/>
            <w:tcBorders>
              <w:top w:val="single" w:sz="8" w:color="005BA5"/>
              <w:bottom w:val="single" w:sz="8" w:color="auto"/>
            </w:tcBorders>
          </w:tcPr>
          <w:p>
            <w:pPr>
              <w:spacing w:after="0"/>
              <w:rPr>
                <w:sz w:val="10"/>
                <w:szCs w:val="10"/>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Allstate Life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Traditional life insurance premiums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Interest-sensitive life insurance contract charges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Allstate Life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486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472</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15"/>
        </w:trPr>
        <w:tc>
          <w:tcPr>
            <w:tcW w:w="8460" w:type="dxa"/>
            <w:vAlign w:val="bottom"/>
            <w:tcBorders>
              <w:top w:val="single" w:sz="8" w:color="005BA5"/>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005BA5"/>
              <w:bottom w:val="single" w:sz="8" w:color="auto"/>
            </w:tcBorders>
          </w:tcPr>
          <w:p>
            <w:pPr>
              <w:spacing w:after="0"/>
              <w:rPr>
                <w:sz w:val="10"/>
                <w:szCs w:val="10"/>
                <w:color w:val="auto"/>
              </w:rPr>
            </w:pPr>
          </w:p>
        </w:tc>
        <w:tc>
          <w:tcPr>
            <w:tcW w:w="1060" w:type="dxa"/>
            <w:vAlign w:val="bottom"/>
            <w:tcBorders>
              <w:top w:val="single" w:sz="8" w:color="005BA5"/>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005BA5"/>
              <w:bottom w:val="single" w:sz="8" w:color="auto"/>
            </w:tcBorders>
          </w:tcPr>
          <w:p>
            <w:pPr>
              <w:spacing w:after="0"/>
              <w:rPr>
                <w:sz w:val="10"/>
                <w:szCs w:val="10"/>
                <w:color w:val="auto"/>
              </w:rPr>
            </w:pPr>
          </w:p>
        </w:tc>
        <w:tc>
          <w:tcPr>
            <w:tcW w:w="1040" w:type="dxa"/>
            <w:vAlign w:val="bottom"/>
            <w:tcBorders>
              <w:top w:val="single" w:sz="8" w:color="005BA5"/>
              <w:bottom w:val="single" w:sz="8" w:color="auto"/>
            </w:tcBorders>
          </w:tcPr>
          <w:p>
            <w:pPr>
              <w:spacing w:after="0"/>
              <w:rPr>
                <w:sz w:val="10"/>
                <w:szCs w:val="10"/>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Allstate Benefits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Traditional life insurance premiums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Accident and health insurance premiums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Interest-sensitive life insurance contract charges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Allstate Benefits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303</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15"/>
        </w:trPr>
        <w:tc>
          <w:tcPr>
            <w:tcW w:w="8460" w:type="dxa"/>
            <w:vAlign w:val="bottom"/>
            <w:tcBorders>
              <w:top w:val="single" w:sz="8" w:color="005BA5"/>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005BA5"/>
              <w:bottom w:val="single" w:sz="8" w:color="auto"/>
            </w:tcBorders>
          </w:tcPr>
          <w:p>
            <w:pPr>
              <w:spacing w:after="0"/>
              <w:rPr>
                <w:sz w:val="10"/>
                <w:szCs w:val="10"/>
                <w:color w:val="auto"/>
              </w:rPr>
            </w:pPr>
          </w:p>
        </w:tc>
        <w:tc>
          <w:tcPr>
            <w:tcW w:w="1060" w:type="dxa"/>
            <w:vAlign w:val="bottom"/>
            <w:tcBorders>
              <w:top w:val="single" w:sz="8" w:color="005BA5"/>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005BA5"/>
              <w:bottom w:val="single" w:sz="8" w:color="auto"/>
            </w:tcBorders>
          </w:tcPr>
          <w:p>
            <w:pPr>
              <w:spacing w:after="0"/>
              <w:rPr>
                <w:sz w:val="10"/>
                <w:szCs w:val="10"/>
                <w:color w:val="auto"/>
              </w:rPr>
            </w:pPr>
          </w:p>
        </w:tc>
        <w:tc>
          <w:tcPr>
            <w:tcW w:w="1040" w:type="dxa"/>
            <w:vAlign w:val="bottom"/>
            <w:tcBorders>
              <w:top w:val="single" w:sz="8" w:color="005BA5"/>
              <w:bottom w:val="single" w:sz="8" w:color="auto"/>
            </w:tcBorders>
          </w:tcPr>
          <w:p>
            <w:pPr>
              <w:spacing w:after="0"/>
              <w:rPr>
                <w:sz w:val="10"/>
                <w:szCs w:val="10"/>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Allstate Annuities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Fixed annuities contract charges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Allstate Annuities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264</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15"/>
        </w:trPr>
        <w:tc>
          <w:tcPr>
            <w:tcW w:w="8460" w:type="dxa"/>
            <w:vAlign w:val="bottom"/>
            <w:tcBorders>
              <w:top w:val="single" w:sz="8" w:color="005BA5"/>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005BA5"/>
              <w:bottom w:val="single" w:sz="8" w:color="auto"/>
            </w:tcBorders>
          </w:tcPr>
          <w:p>
            <w:pPr>
              <w:spacing w:after="0"/>
              <w:rPr>
                <w:sz w:val="10"/>
                <w:szCs w:val="10"/>
                <w:color w:val="auto"/>
              </w:rPr>
            </w:pPr>
          </w:p>
        </w:tc>
        <w:tc>
          <w:tcPr>
            <w:tcW w:w="1060" w:type="dxa"/>
            <w:vAlign w:val="bottom"/>
            <w:tcBorders>
              <w:top w:val="single" w:sz="8" w:color="005BA5"/>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005BA5"/>
              <w:bottom w:val="single" w:sz="8" w:color="auto"/>
            </w:tcBorders>
          </w:tcPr>
          <w:p>
            <w:pPr>
              <w:spacing w:after="0"/>
              <w:rPr>
                <w:sz w:val="10"/>
                <w:szCs w:val="10"/>
                <w:color w:val="auto"/>
              </w:rPr>
            </w:pPr>
          </w:p>
        </w:tc>
        <w:tc>
          <w:tcPr>
            <w:tcW w:w="1040" w:type="dxa"/>
            <w:vAlign w:val="bottom"/>
            <w:tcBorders>
              <w:top w:val="single" w:sz="8" w:color="005BA5"/>
              <w:bottom w:val="single" w:sz="8" w:color="auto"/>
            </w:tcBorders>
          </w:tcPr>
          <w:p>
            <w:pPr>
              <w:spacing w:after="0"/>
              <w:rPr>
                <w:sz w:val="10"/>
                <w:szCs w:val="10"/>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Corporate and Other</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Corporate and Other</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12</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15"/>
        </w:trPr>
        <w:tc>
          <w:tcPr>
            <w:tcW w:w="8460" w:type="dxa"/>
            <w:vAlign w:val="bottom"/>
            <w:tcBorders>
              <w:top w:val="single" w:sz="8" w:color="005BA5"/>
              <w:bottom w:val="single" w:sz="8" w:color="ACACAC"/>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005BA5"/>
              <w:bottom w:val="single" w:sz="8" w:color="ACACAC"/>
            </w:tcBorders>
          </w:tcPr>
          <w:p>
            <w:pPr>
              <w:spacing w:after="0"/>
              <w:rPr>
                <w:sz w:val="10"/>
                <w:szCs w:val="10"/>
                <w:color w:val="auto"/>
              </w:rPr>
            </w:pPr>
          </w:p>
        </w:tc>
        <w:tc>
          <w:tcPr>
            <w:tcW w:w="1060" w:type="dxa"/>
            <w:vAlign w:val="bottom"/>
            <w:tcBorders>
              <w:top w:val="single" w:sz="8" w:color="005BA5"/>
              <w:bottom w:val="single" w:sz="8" w:color="ACACAC"/>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005BA5"/>
              <w:bottom w:val="single" w:sz="8" w:color="ACACAC"/>
            </w:tcBorders>
          </w:tcPr>
          <w:p>
            <w:pPr>
              <w:spacing w:after="0"/>
              <w:rPr>
                <w:sz w:val="10"/>
                <w:szCs w:val="10"/>
                <w:color w:val="auto"/>
              </w:rPr>
            </w:pPr>
          </w:p>
        </w:tc>
        <w:tc>
          <w:tcPr>
            <w:tcW w:w="1040" w:type="dxa"/>
            <w:vAlign w:val="bottom"/>
            <w:tcBorders>
              <w:top w:val="single" w:sz="8" w:color="005BA5"/>
              <w:bottom w:val="single" w:sz="8" w:color="ACACAC"/>
            </w:tcBorders>
          </w:tcPr>
          <w:p>
            <w:pPr>
              <w:spacing w:after="0"/>
              <w:rPr>
                <w:sz w:val="10"/>
                <w:szCs w:val="10"/>
                <w:color w:val="auto"/>
              </w:rPr>
            </w:pPr>
          </w:p>
        </w:tc>
      </w:tr>
      <w:tr>
        <w:trPr>
          <w:trHeight w:val="250"/>
        </w:trPr>
        <w:tc>
          <w:tcPr>
            <w:tcW w:w="8460" w:type="dxa"/>
            <w:vAlign w:val="bottom"/>
            <w:tcBorders>
              <w:bottom w:val="single" w:sz="8" w:color="005BA5"/>
            </w:tcBorders>
          </w:tcPr>
          <w:p>
            <w:pPr>
              <w:ind w:left="500"/>
              <w:spacing w:after="0" w:line="250" w:lineRule="exact"/>
              <w:rPr>
                <w:sz w:val="20"/>
                <w:szCs w:val="20"/>
                <w:color w:val="auto"/>
              </w:rPr>
            </w:pPr>
            <w:r>
              <w:rPr>
                <w:rFonts w:ascii="Arial" w:cs="Arial" w:eastAsia="Arial" w:hAnsi="Arial"/>
                <w:sz w:val="16"/>
                <w:szCs w:val="16"/>
                <w:color w:val="auto"/>
              </w:rPr>
              <w:t xml:space="preserve">Intersegment eliminations </w:t>
            </w:r>
            <w:r>
              <w:rPr>
                <w:rFonts w:ascii="Arial" w:cs="Arial" w:eastAsia="Arial" w:hAnsi="Arial"/>
                <w:sz w:val="27"/>
                <w:szCs w:val="27"/>
                <w:color w:val="005BA5"/>
                <w:vertAlign w:val="superscript"/>
              </w:rPr>
              <w:t>(1)</w:t>
            </w:r>
          </w:p>
        </w:tc>
        <w:tc>
          <w:tcPr>
            <w:tcW w:w="12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4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(29)</w:t>
            </w: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b w:val="1"/>
                <w:bCs w:val="1"/>
                <w:color w:val="auto"/>
              </w:rPr>
              <w:t>Consolidated revenues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10,990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9,770</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76" w:gutter="0" w:footer="0" w:header="0"/>
        </w:sectPr>
      </w:pPr>
    </w:p>
    <w:p>
      <w:pPr>
        <w:spacing w:after="0" w:line="129" w:lineRule="exact"/>
        <w:rPr>
          <w:sz w:val="20"/>
          <w:szCs w:val="20"/>
          <w:color w:val="auto"/>
        </w:rPr>
      </w:pPr>
    </w:p>
    <w:p>
      <w:pPr>
        <w:ind w:left="260" w:right="280" w:hanging="171"/>
        <w:spacing w:after="0" w:line="188" w:lineRule="auto"/>
        <w:tabs>
          <w:tab w:leader="none" w:pos="278" w:val="left"/>
        </w:tabs>
        <w:numPr>
          <w:ilvl w:val="0"/>
          <w:numId w:val="6"/>
        </w:numPr>
        <w:rPr>
          <w:rFonts w:ascii="Arial" w:cs="Arial" w:eastAsia="Arial" w:hAnsi="Arial"/>
          <w:sz w:val="23"/>
          <w:szCs w:val="23"/>
          <w:color w:val="005BA5"/>
          <w:vertAlign w:val="superscript"/>
        </w:rPr>
      </w:pPr>
      <w:r>
        <w:rPr>
          <w:rFonts w:ascii="Arial" w:cs="Arial" w:eastAsia="Arial" w:hAnsi="Arial"/>
          <w:sz w:val="14"/>
          <w:szCs w:val="14"/>
          <w:color w:val="auto"/>
        </w:rPr>
        <w:t>Intersegment insurance premiums and service fees are primarily related to Arity and Allstate Roadside Services and are eliminated in the condensed consolidated financial statements.</w:t>
      </w:r>
    </w:p>
    <w:p>
      <w:pPr>
        <w:sectPr>
          <w:pgSz w:w="11900" w:h="16838" w:orient="portrait"/>
          <w:cols w:equalWidth="0" w:num="1">
            <w:col w:w="11420"/>
          </w:cols>
          <w:pgMar w:left="240" w:top="141" w:right="239" w:bottom="76" w:gutter="0" w:footer="0" w:header="0"/>
          <w:type w:val="continuous"/>
        </w:sectPr>
      </w:pPr>
    </w:p>
    <w:bookmarkStart w:id="17" w:name="page18"/>
    <w:bookmarkEnd w:id="17"/>
    <w:p>
      <w:pPr>
        <w:spacing w:after="0"/>
        <w:rPr>
          <w:sz w:val="20"/>
          <w:szCs w:val="20"/>
          <w:color w:val="auto"/>
        </w:rPr>
      </w:pPr>
      <w:r>
        <w:rPr>
          <w:rFonts w:ascii="Arial" w:cs="Arial" w:eastAsia="Arial" w:hAnsi="Arial"/>
          <w:sz w:val="15"/>
          <w:szCs w:val="15"/>
          <w:color w:val="1666AF"/>
        </w:rPr>
        <w:t xml:space="preserve">14 </w:t>
      </w:r>
      <w:r>
        <w:rPr>
          <w:sz w:val="1"/>
          <w:szCs w:val="1"/>
          <w:color w:val="auto"/>
        </w:rPr>
        <w:drawing>
          <wp:inline distT="0" distB="0" distL="0" distR="0">
            <wp:extent cx="111760" cy="1117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0219"/>
          </w:cols>
          <w:pgMar w:left="240" w:top="140" w:right="1440" w:bottom="1440" w:gutter="0" w:footer="0" w:header="0"/>
        </w:sectPr>
      </w:pPr>
    </w:p>
    <w:bookmarkStart w:id="18" w:name="page19"/>
    <w:bookmarkEnd w:id="18"/>
    <w:p>
      <w:pPr>
        <w:ind w:left="740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Reportable segments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Property-Liability</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Allstate Protection</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Discontinued Lines and Coverages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underwriting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1,005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expense on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Property-Liability net income applicable to common shareholders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1,182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990</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60" w:type="dxa"/>
            <w:vAlign w:val="bottom"/>
            <w:tcBorders>
              <w:top w:val="single" w:sz="8" w:color="005BA5"/>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40" w:type="dxa"/>
            <w:vAlign w:val="bottom"/>
            <w:tcBorders>
              <w:top w:val="single" w:sz="8" w:color="005BA5"/>
              <w:bottom w:val="single" w:sz="8" w:color="auto"/>
            </w:tcBorders>
          </w:tcPr>
          <w:p>
            <w:pPr>
              <w:spacing w:after="0"/>
              <w:rPr>
                <w:sz w:val="13"/>
                <w:szCs w:val="13"/>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Service Businesses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Adjusted net income (loss)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purchased intangible assets, after-tax</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Service Businesses net loss applicable to common shareholders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60" w:type="dxa"/>
            <w:vAlign w:val="bottom"/>
            <w:tcBorders>
              <w:top w:val="single" w:sz="8" w:color="005BA5"/>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40" w:type="dxa"/>
            <w:vAlign w:val="bottom"/>
            <w:tcBorders>
              <w:top w:val="single" w:sz="8" w:color="005BA5"/>
              <w:bottom w:val="single" w:sz="8" w:color="auto"/>
            </w:tcBorders>
          </w:tcPr>
          <w:p>
            <w:pPr>
              <w:spacing w:after="0"/>
              <w:rPr>
                <w:sz w:val="13"/>
                <w:szCs w:val="13"/>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Allstate Life</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Adjusted net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after-tax</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46"/>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5"/>
                <w:szCs w:val="15"/>
                <w:color w:val="auto"/>
              </w:rPr>
              <w:t>DAC and DSI amortization related to realized capital gains and losses, after-tax</w:t>
            </w:r>
          </w:p>
        </w:tc>
        <w:tc>
          <w:tcPr>
            <w:tcW w:w="12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4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(2)</w:t>
            </w:r>
          </w:p>
        </w:tc>
      </w:tr>
      <w:tr>
        <w:trPr>
          <w:trHeight w:val="22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Allstate Life net income applicable to common shareholders</w:t>
            </w: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67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60" w:type="dxa"/>
            <w:vAlign w:val="bottom"/>
            <w:tcBorders>
              <w:top w:val="single" w:sz="8" w:color="005BA5"/>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40" w:type="dxa"/>
            <w:vAlign w:val="bottom"/>
            <w:tcBorders>
              <w:top w:val="single" w:sz="8" w:color="005BA5"/>
              <w:bottom w:val="single" w:sz="8" w:color="auto"/>
            </w:tcBorders>
          </w:tcPr>
          <w:p>
            <w:pPr>
              <w:spacing w:after="0"/>
              <w:rPr>
                <w:sz w:val="13"/>
                <w:szCs w:val="13"/>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Allstate Benefits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Adjusted net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Allstate Benefits net income applicable to common shareholders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60" w:type="dxa"/>
            <w:vAlign w:val="bottom"/>
            <w:tcBorders>
              <w:top w:val="single" w:sz="8" w:color="005BA5"/>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40" w:type="dxa"/>
            <w:vAlign w:val="bottom"/>
            <w:tcBorders>
              <w:top w:val="single" w:sz="8" w:color="005BA5"/>
              <w:bottom w:val="single" w:sz="8" w:color="auto"/>
            </w:tcBorders>
          </w:tcPr>
          <w:p>
            <w:pPr>
              <w:spacing w:after="0"/>
              <w:rPr>
                <w:sz w:val="13"/>
                <w:szCs w:val="13"/>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Allstate Annuities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Adjusted net (loss) income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Valuation changes on embedded derivatives not hedged, after-tax</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Gain on disposition of operations,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Allstate Annuities net income applicable to common shareholders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60" w:type="dxa"/>
            <w:vAlign w:val="bottom"/>
            <w:tcBorders>
              <w:top w:val="single" w:sz="8" w:color="005BA5"/>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40" w:type="dxa"/>
            <w:vAlign w:val="bottom"/>
            <w:tcBorders>
              <w:top w:val="single" w:sz="8" w:color="005BA5"/>
              <w:bottom w:val="single" w:sz="8" w:color="auto"/>
            </w:tcBorders>
          </w:tcPr>
          <w:p>
            <w:pPr>
              <w:spacing w:after="0"/>
              <w:rPr>
                <w:sz w:val="13"/>
                <w:szCs w:val="13"/>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005BA5"/>
              </w:rPr>
              <w:t>Corporate and Other</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Adjusted net loss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Pension and other postretirement remeasurement gains and losses, after-tax</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Corporate and Other net loss applicable to common shareholders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(102)</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005BA5"/>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005BA5"/>
            </w:tcBorders>
          </w:tcPr>
          <w:p>
            <w:pPr>
              <w:spacing w:after="0"/>
              <w:rPr>
                <w:sz w:val="13"/>
                <w:szCs w:val="13"/>
                <w:color w:val="auto"/>
              </w:rPr>
            </w:pPr>
          </w:p>
        </w:tc>
        <w:tc>
          <w:tcPr>
            <w:tcW w:w="1060" w:type="dxa"/>
            <w:vAlign w:val="bottom"/>
            <w:tcBorders>
              <w:top w:val="single" w:sz="8" w:color="005BA5"/>
              <w:bottom w:val="single" w:sz="8" w:color="005BA5"/>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005BA5"/>
            </w:tcBorders>
          </w:tcPr>
          <w:p>
            <w:pPr>
              <w:spacing w:after="0"/>
              <w:rPr>
                <w:sz w:val="13"/>
                <w:szCs w:val="13"/>
                <w:color w:val="auto"/>
              </w:rPr>
            </w:pPr>
          </w:p>
        </w:tc>
        <w:tc>
          <w:tcPr>
            <w:tcW w:w="1040" w:type="dxa"/>
            <w:vAlign w:val="bottom"/>
            <w:tcBorders>
              <w:top w:val="single" w:sz="8" w:color="005BA5"/>
              <w:bottom w:val="single" w:sz="8" w:color="005BA5"/>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Consolidated 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1,261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977</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15</w:t>
      </w:r>
    </w:p>
    <w:p>
      <w:pPr>
        <w:sectPr>
          <w:pgSz w:w="11900" w:h="16838" w:orient="portrait"/>
          <w:cols w:equalWidth="0" w:num="1">
            <w:col w:w="11420"/>
          </w:cols>
          <w:pgMar w:left="240" w:top="141"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040" w:type="dxa"/>
            <w:vAlign w:val="bottom"/>
            <w:tcBorders>
              <w:bottom w:val="single" w:sz="8" w:color="005BA5"/>
            </w:tcBorders>
          </w:tcPr>
          <w:p>
            <w:pPr>
              <w:ind w:left="40"/>
              <w:spacing w:after="0"/>
              <w:rPr>
                <w:sz w:val="20"/>
                <w:szCs w:val="20"/>
                <w:color w:val="auto"/>
              </w:rPr>
            </w:pPr>
            <w:r>
              <w:rPr>
                <w:rFonts w:ascii="Arial" w:cs="Arial" w:eastAsia="Arial" w:hAnsi="Arial"/>
                <w:sz w:val="20"/>
                <w:szCs w:val="20"/>
                <w:b w:val="1"/>
                <w:bCs w:val="1"/>
                <w:color w:val="005BA5"/>
              </w:rPr>
              <w:t>Note 5</w:t>
            </w:r>
          </w:p>
        </w:tc>
        <w:tc>
          <w:tcPr>
            <w:tcW w:w="4120" w:type="dxa"/>
            <w:vAlign w:val="bottom"/>
            <w:tcBorders>
              <w:bottom w:val="single" w:sz="8" w:color="005BA5"/>
            </w:tcBorders>
            <w:gridSpan w:val="2"/>
          </w:tcPr>
          <w:p>
            <w:pPr>
              <w:ind w:left="140"/>
              <w:spacing w:after="0"/>
              <w:rPr>
                <w:sz w:val="20"/>
                <w:szCs w:val="20"/>
                <w:color w:val="auto"/>
              </w:rPr>
            </w:pPr>
            <w:r>
              <w:rPr>
                <w:rFonts w:ascii="Arial" w:cs="Arial" w:eastAsia="Arial" w:hAnsi="Arial"/>
                <w:sz w:val="20"/>
                <w:szCs w:val="20"/>
                <w:b w:val="1"/>
                <w:bCs w:val="1"/>
                <w:color w:val="auto"/>
              </w:rPr>
              <w:t>Investments</w:t>
            </w:r>
          </w:p>
        </w:tc>
        <w:tc>
          <w:tcPr>
            <w:tcW w:w="160" w:type="dxa"/>
            <w:vAlign w:val="bottom"/>
            <w:tcBorders>
              <w:bottom w:val="single" w:sz="8" w:color="005BA5"/>
            </w:tcBorders>
          </w:tcPr>
          <w:p>
            <w:pPr>
              <w:spacing w:after="0"/>
              <w:rPr>
                <w:sz w:val="23"/>
                <w:szCs w:val="23"/>
                <w:color w:val="auto"/>
              </w:rPr>
            </w:pPr>
          </w:p>
        </w:tc>
        <w:tc>
          <w:tcPr>
            <w:tcW w:w="1340" w:type="dxa"/>
            <w:vAlign w:val="bottom"/>
            <w:tcBorders>
              <w:bottom w:val="single" w:sz="8" w:color="005BA5"/>
            </w:tcBorders>
          </w:tcPr>
          <w:p>
            <w:pPr>
              <w:spacing w:after="0"/>
              <w:rPr>
                <w:sz w:val="23"/>
                <w:szCs w:val="23"/>
                <w:color w:val="auto"/>
              </w:rPr>
            </w:pPr>
          </w:p>
        </w:tc>
        <w:tc>
          <w:tcPr>
            <w:tcW w:w="120" w:type="dxa"/>
            <w:vAlign w:val="bottom"/>
            <w:tcBorders>
              <w:bottom w:val="single" w:sz="8" w:color="005BA5"/>
            </w:tcBorders>
          </w:tcPr>
          <w:p>
            <w:pPr>
              <w:spacing w:after="0"/>
              <w:rPr>
                <w:sz w:val="23"/>
                <w:szCs w:val="23"/>
                <w:color w:val="auto"/>
              </w:rPr>
            </w:pPr>
          </w:p>
        </w:tc>
        <w:tc>
          <w:tcPr>
            <w:tcW w:w="320" w:type="dxa"/>
            <w:vAlign w:val="bottom"/>
            <w:tcBorders>
              <w:bottom w:val="single" w:sz="8" w:color="005BA5"/>
            </w:tcBorders>
          </w:tcPr>
          <w:p>
            <w:pPr>
              <w:spacing w:after="0"/>
              <w:rPr>
                <w:sz w:val="23"/>
                <w:szCs w:val="23"/>
                <w:color w:val="auto"/>
              </w:rPr>
            </w:pPr>
          </w:p>
        </w:tc>
        <w:tc>
          <w:tcPr>
            <w:tcW w:w="440" w:type="dxa"/>
            <w:vAlign w:val="bottom"/>
            <w:tcBorders>
              <w:bottom w:val="single" w:sz="8" w:color="005BA5"/>
            </w:tcBorders>
          </w:tcPr>
          <w:p>
            <w:pPr>
              <w:spacing w:after="0"/>
              <w:rPr>
                <w:sz w:val="23"/>
                <w:szCs w:val="23"/>
                <w:color w:val="auto"/>
              </w:rPr>
            </w:pPr>
          </w:p>
        </w:tc>
        <w:tc>
          <w:tcPr>
            <w:tcW w:w="120" w:type="dxa"/>
            <w:vAlign w:val="bottom"/>
            <w:tcBorders>
              <w:bottom w:val="single" w:sz="8" w:color="005BA5"/>
            </w:tcBorders>
          </w:tcPr>
          <w:p>
            <w:pPr>
              <w:spacing w:after="0"/>
              <w:rPr>
                <w:sz w:val="23"/>
                <w:szCs w:val="23"/>
                <w:color w:val="auto"/>
              </w:rPr>
            </w:pPr>
          </w:p>
        </w:tc>
        <w:tc>
          <w:tcPr>
            <w:tcW w:w="620" w:type="dxa"/>
            <w:vAlign w:val="bottom"/>
            <w:tcBorders>
              <w:bottom w:val="single" w:sz="8" w:color="005BA5"/>
            </w:tcBorders>
          </w:tcPr>
          <w:p>
            <w:pPr>
              <w:spacing w:after="0"/>
              <w:rPr>
                <w:sz w:val="23"/>
                <w:szCs w:val="23"/>
                <w:color w:val="auto"/>
              </w:rPr>
            </w:pPr>
          </w:p>
        </w:tc>
        <w:tc>
          <w:tcPr>
            <w:tcW w:w="120" w:type="dxa"/>
            <w:vAlign w:val="bottom"/>
            <w:tcBorders>
              <w:bottom w:val="single" w:sz="8" w:color="005BA5"/>
            </w:tcBorders>
          </w:tcPr>
          <w:p>
            <w:pPr>
              <w:spacing w:after="0"/>
              <w:rPr>
                <w:sz w:val="23"/>
                <w:szCs w:val="23"/>
                <w:color w:val="auto"/>
              </w:rPr>
            </w:pPr>
          </w:p>
        </w:tc>
        <w:tc>
          <w:tcPr>
            <w:tcW w:w="1020" w:type="dxa"/>
            <w:vAlign w:val="bottom"/>
            <w:tcBorders>
              <w:bottom w:val="single" w:sz="8" w:color="005BA5"/>
            </w:tcBorders>
          </w:tcPr>
          <w:p>
            <w:pPr>
              <w:spacing w:after="0"/>
              <w:rPr>
                <w:sz w:val="23"/>
                <w:szCs w:val="23"/>
                <w:color w:val="auto"/>
              </w:rPr>
            </w:pPr>
          </w:p>
        </w:tc>
        <w:tc>
          <w:tcPr>
            <w:tcW w:w="80" w:type="dxa"/>
            <w:vAlign w:val="bottom"/>
            <w:tcBorders>
              <w:bottom w:val="single" w:sz="8" w:color="005BA5"/>
            </w:tcBorders>
          </w:tcPr>
          <w:p>
            <w:pPr>
              <w:spacing w:after="0"/>
              <w:rPr>
                <w:sz w:val="23"/>
                <w:szCs w:val="23"/>
                <w:color w:val="auto"/>
              </w:rPr>
            </w:pPr>
          </w:p>
        </w:tc>
        <w:tc>
          <w:tcPr>
            <w:tcW w:w="120" w:type="dxa"/>
            <w:vAlign w:val="bottom"/>
            <w:tcBorders>
              <w:bottom w:val="single" w:sz="8" w:color="005BA5"/>
            </w:tcBorders>
          </w:tcPr>
          <w:p>
            <w:pPr>
              <w:spacing w:after="0"/>
              <w:rPr>
                <w:sz w:val="23"/>
                <w:szCs w:val="23"/>
                <w:color w:val="auto"/>
              </w:rPr>
            </w:pPr>
          </w:p>
        </w:tc>
        <w:tc>
          <w:tcPr>
            <w:tcW w:w="240" w:type="dxa"/>
            <w:vAlign w:val="bottom"/>
            <w:tcBorders>
              <w:bottom w:val="single" w:sz="8" w:color="005BA5"/>
            </w:tcBorders>
          </w:tcPr>
          <w:p>
            <w:pPr>
              <w:spacing w:after="0"/>
              <w:rPr>
                <w:sz w:val="23"/>
                <w:szCs w:val="23"/>
                <w:color w:val="auto"/>
              </w:rPr>
            </w:pPr>
          </w:p>
        </w:tc>
        <w:tc>
          <w:tcPr>
            <w:tcW w:w="100" w:type="dxa"/>
            <w:vAlign w:val="bottom"/>
            <w:tcBorders>
              <w:bottom w:val="single" w:sz="8" w:color="005BA5"/>
            </w:tcBorders>
          </w:tcPr>
          <w:p>
            <w:pPr>
              <w:spacing w:after="0"/>
              <w:rPr>
                <w:sz w:val="23"/>
                <w:szCs w:val="23"/>
                <w:color w:val="auto"/>
              </w:rPr>
            </w:pPr>
          </w:p>
        </w:tc>
        <w:tc>
          <w:tcPr>
            <w:tcW w:w="160" w:type="dxa"/>
            <w:vAlign w:val="bottom"/>
            <w:tcBorders>
              <w:bottom w:val="single" w:sz="8" w:color="005BA5"/>
            </w:tcBorders>
          </w:tcPr>
          <w:p>
            <w:pPr>
              <w:spacing w:after="0"/>
              <w:rPr>
                <w:sz w:val="23"/>
                <w:szCs w:val="23"/>
                <w:color w:val="auto"/>
              </w:rPr>
            </w:pPr>
          </w:p>
        </w:tc>
        <w:tc>
          <w:tcPr>
            <w:tcW w:w="1300" w:type="dxa"/>
            <w:vAlign w:val="bottom"/>
            <w:tcBorders>
              <w:bottom w:val="single" w:sz="8" w:color="005BA5"/>
            </w:tcBorders>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7100" w:type="dxa"/>
            <w:vAlign w:val="bottom"/>
            <w:tcBorders>
              <w:bottom w:val="single" w:sz="8" w:color="auto"/>
            </w:tcBorders>
            <w:gridSpan w:val="7"/>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Amortized cost, gross unrealized gains (losses) and fair value for fixed income securities</w:t>
            </w: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w w:val="95"/>
              </w:rPr>
              <w:t>Gross unrealized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vMerge w:val="restart"/>
          </w:tcPr>
          <w:p>
            <w:pPr>
              <w:jc w:val="right"/>
              <w:ind w:right="49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60"/>
        </w:trPr>
        <w:tc>
          <w:tcPr>
            <w:tcW w:w="104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04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4000" w:type="dxa"/>
            <w:vAlign w:val="bottom"/>
            <w:tcBorders>
              <w:bottom w:val="single" w:sz="8" w:color="005BA5"/>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005BA5"/>
            </w:tcBorders>
          </w:tcPr>
          <w:p>
            <w:pPr>
              <w:spacing w:after="0"/>
              <w:rPr>
                <w:sz w:val="20"/>
                <w:szCs w:val="20"/>
                <w:color w:val="auto"/>
              </w:rPr>
            </w:pPr>
          </w:p>
        </w:tc>
        <w:tc>
          <w:tcPr>
            <w:tcW w:w="1340" w:type="dxa"/>
            <w:vAlign w:val="bottom"/>
            <w:tcBorders>
              <w:bottom w:val="single" w:sz="8" w:color="005BA5"/>
            </w:tcBorders>
          </w:tcPr>
          <w:p>
            <w:pPr>
              <w:jc w:val="right"/>
              <w:ind w:right="159"/>
              <w:spacing w:after="0"/>
              <w:rPr>
                <w:sz w:val="20"/>
                <w:szCs w:val="20"/>
                <w:color w:val="auto"/>
              </w:rPr>
            </w:pPr>
            <w:r>
              <w:rPr>
                <w:rFonts w:ascii="Arial" w:cs="Arial" w:eastAsia="Arial" w:hAnsi="Arial"/>
                <w:sz w:val="16"/>
                <w:szCs w:val="16"/>
                <w:b w:val="1"/>
                <w:bCs w:val="1"/>
                <w:color w:val="auto"/>
                <w:w w:val="93"/>
              </w:rPr>
              <w:t>Amortized cost</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180" w:type="dxa"/>
            <w:vAlign w:val="bottom"/>
            <w:tcBorders>
              <w:bottom w:val="single" w:sz="8" w:color="005BA5"/>
            </w:tcBorders>
            <w:gridSpan w:val="3"/>
          </w:tcPr>
          <w:p>
            <w:pPr>
              <w:jc w:val="right"/>
              <w:ind w:right="479"/>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20"/>
                <w:szCs w:val="20"/>
                <w:color w:val="auto"/>
              </w:rPr>
            </w:pPr>
          </w:p>
        </w:tc>
        <w:tc>
          <w:tcPr>
            <w:tcW w:w="1020" w:type="dxa"/>
            <w:vAlign w:val="bottom"/>
            <w:tcBorders>
              <w:bottom w:val="single" w:sz="8" w:color="005BA5"/>
            </w:tcBorders>
          </w:tcPr>
          <w:p>
            <w:pPr>
              <w:jc w:val="right"/>
              <w:spacing w:after="0"/>
              <w:rPr>
                <w:sz w:val="20"/>
                <w:szCs w:val="20"/>
                <w:color w:val="auto"/>
              </w:rPr>
            </w:pPr>
            <w:r>
              <w:rPr>
                <w:rFonts w:ascii="Arial" w:cs="Arial" w:eastAsia="Arial" w:hAnsi="Arial"/>
                <w:sz w:val="16"/>
                <w:szCs w:val="16"/>
                <w:b w:val="1"/>
                <w:bCs w:val="1"/>
                <w:color w:val="auto"/>
              </w:rPr>
              <w:t>Losses</w:t>
            </w:r>
          </w:p>
        </w:tc>
        <w:tc>
          <w:tcPr>
            <w:tcW w:w="80" w:type="dxa"/>
            <w:vAlign w:val="bottom"/>
            <w:tcBorders>
              <w:bottom w:val="single" w:sz="8" w:color="005BA5"/>
            </w:tcBorders>
          </w:tcPr>
          <w:p>
            <w:pPr>
              <w:spacing w:after="0"/>
              <w:rPr>
                <w:sz w:val="20"/>
                <w:szCs w:val="20"/>
                <w:color w:val="auto"/>
              </w:rPr>
            </w:pPr>
          </w:p>
        </w:tc>
        <w:tc>
          <w:tcPr>
            <w:tcW w:w="120" w:type="dxa"/>
            <w:vAlign w:val="bottom"/>
            <w:tcBorders>
              <w:bottom w:val="single" w:sz="8" w:color="005BA5"/>
            </w:tcBorders>
          </w:tcPr>
          <w:p>
            <w:pPr>
              <w:spacing w:after="0"/>
              <w:rPr>
                <w:sz w:val="20"/>
                <w:szCs w:val="20"/>
                <w:color w:val="auto"/>
              </w:rPr>
            </w:pPr>
          </w:p>
        </w:tc>
        <w:tc>
          <w:tcPr>
            <w:tcW w:w="240" w:type="dxa"/>
            <w:vAlign w:val="bottom"/>
            <w:tcBorders>
              <w:bottom w:val="single" w:sz="8" w:color="005BA5"/>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005BA5"/>
            </w:tcBorders>
          </w:tcPr>
          <w:p>
            <w:pPr>
              <w:spacing w:after="0"/>
              <w:rPr>
                <w:sz w:val="20"/>
                <w:szCs w:val="20"/>
                <w:color w:val="auto"/>
              </w:rPr>
            </w:pPr>
          </w:p>
        </w:tc>
        <w:tc>
          <w:tcPr>
            <w:tcW w:w="1300" w:type="dxa"/>
            <w:vAlign w:val="bottom"/>
            <w:tcBorders>
              <w:bottom w:val="single" w:sz="8" w:color="005BA5"/>
            </w:tcBorders>
          </w:tcPr>
          <w:p>
            <w:pPr>
              <w:jc w:val="right"/>
              <w:ind w:right="45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4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U.S. government and agencies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3,775</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3,892</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ind w:left="40"/>
              <w:spacing w:after="0"/>
              <w:rPr>
                <w:sz w:val="20"/>
                <w:szCs w:val="20"/>
                <w:color w:val="auto"/>
              </w:rPr>
            </w:pPr>
            <w:r>
              <w:rPr>
                <w:rFonts w:ascii="Arial" w:cs="Arial" w:eastAsia="Arial" w:hAnsi="Arial"/>
                <w:sz w:val="16"/>
                <w:szCs w:val="16"/>
                <w:color w:val="auto"/>
              </w:rPr>
              <w:t>Municipal</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8,879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9,264</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ind w:left="40"/>
              <w:spacing w:after="0"/>
              <w:rPr>
                <w:sz w:val="20"/>
                <w:szCs w:val="20"/>
                <w:color w:val="auto"/>
              </w:rPr>
            </w:pPr>
            <w:r>
              <w:rPr>
                <w:rFonts w:ascii="Arial" w:cs="Arial" w:eastAsia="Arial" w:hAnsi="Arial"/>
                <w:sz w:val="16"/>
                <w:szCs w:val="16"/>
                <w:color w:val="auto"/>
              </w:rPr>
              <w:t>Corporate</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41,943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998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w w:val="96"/>
              </w:rPr>
              <w:t>(242)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42,699</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Asset-backed securities (“ABS”)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Residential mortgage-backed securities (“RMBS”)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Commercial mortgage-backed securities (“CMBS”)</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Redeemable preferred stock</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504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4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6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180"/>
              <w:spacing w:after="0"/>
              <w:rPr>
                <w:sz w:val="20"/>
                <w:szCs w:val="20"/>
                <w:color w:val="auto"/>
              </w:rPr>
            </w:pPr>
            <w:r>
              <w:rPr>
                <w:rFonts w:ascii="Arial" w:cs="Arial" w:eastAsia="Arial" w:hAnsi="Arial"/>
                <w:sz w:val="16"/>
                <w:szCs w:val="16"/>
                <w:b w:val="1"/>
                <w:bCs w:val="1"/>
                <w:color w:val="auto"/>
              </w:rPr>
              <w:t>Total fixed income securities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56,831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1,635</w:t>
            </w:r>
          </w:p>
        </w:tc>
        <w:tc>
          <w:tcPr>
            <w:tcW w:w="12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6"/>
              </w:rPr>
              <w:t>(264)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58,202</w:t>
            </w:r>
          </w:p>
        </w:tc>
        <w:tc>
          <w:tcPr>
            <w:tcW w:w="0" w:type="dxa"/>
            <w:vAlign w:val="bottom"/>
          </w:tcPr>
          <w:p>
            <w:pPr>
              <w:spacing w:after="0"/>
              <w:rPr>
                <w:sz w:val="1"/>
                <w:szCs w:val="1"/>
                <w:color w:val="auto"/>
              </w:rPr>
            </w:pPr>
          </w:p>
        </w:tc>
      </w:tr>
      <w:tr>
        <w:trPr>
          <w:trHeight w:val="33"/>
        </w:trPr>
        <w:tc>
          <w:tcPr>
            <w:tcW w:w="1040" w:type="dxa"/>
            <w:vAlign w:val="bottom"/>
          </w:tcPr>
          <w:p>
            <w:pPr>
              <w:spacing w:after="0"/>
              <w:rPr>
                <w:sz w:val="2"/>
                <w:szCs w:val="2"/>
                <w:color w:val="auto"/>
              </w:rPr>
            </w:pPr>
          </w:p>
        </w:tc>
        <w:tc>
          <w:tcPr>
            <w:tcW w:w="41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040" w:type="dxa"/>
            <w:vAlign w:val="bottom"/>
            <w:tcBorders>
              <w:top w:val="single" w:sz="8" w:color="005BA5"/>
              <w:bottom w:val="single" w:sz="8" w:color="939393"/>
            </w:tcBorders>
          </w:tcPr>
          <w:p>
            <w:pPr>
              <w:spacing w:after="0"/>
              <w:rPr>
                <w:sz w:val="22"/>
                <w:szCs w:val="22"/>
                <w:color w:val="auto"/>
              </w:rPr>
            </w:pPr>
          </w:p>
        </w:tc>
        <w:tc>
          <w:tcPr>
            <w:tcW w:w="4000" w:type="dxa"/>
            <w:vAlign w:val="bottom"/>
            <w:tcBorders>
              <w:top w:val="single" w:sz="8" w:color="005BA5"/>
              <w:bottom w:val="single" w:sz="8" w:color="939393"/>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005BA5"/>
              <w:bottom w:val="single" w:sz="8" w:color="ACACAC"/>
            </w:tcBorders>
          </w:tcPr>
          <w:p>
            <w:pPr>
              <w:spacing w:after="0"/>
              <w:rPr>
                <w:sz w:val="22"/>
                <w:szCs w:val="22"/>
                <w:color w:val="auto"/>
              </w:rPr>
            </w:pPr>
          </w:p>
        </w:tc>
        <w:tc>
          <w:tcPr>
            <w:tcW w:w="1340" w:type="dxa"/>
            <w:vAlign w:val="bottom"/>
            <w:tcBorders>
              <w:top w:val="single" w:sz="8" w:color="005BA5"/>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005BA5"/>
              <w:bottom w:val="single" w:sz="8" w:color="ACACAC"/>
            </w:tcBorders>
          </w:tcPr>
          <w:p>
            <w:pPr>
              <w:spacing w:after="0"/>
              <w:rPr>
                <w:sz w:val="22"/>
                <w:szCs w:val="22"/>
                <w:color w:val="auto"/>
              </w:rPr>
            </w:pPr>
          </w:p>
        </w:tc>
        <w:tc>
          <w:tcPr>
            <w:tcW w:w="440" w:type="dxa"/>
            <w:vAlign w:val="bottom"/>
            <w:tcBorders>
              <w:top w:val="single" w:sz="8" w:color="005BA5"/>
              <w:bottom w:val="single" w:sz="8" w:color="ACACAC"/>
            </w:tcBorders>
          </w:tcPr>
          <w:p>
            <w:pPr>
              <w:spacing w:after="0"/>
              <w:rPr>
                <w:sz w:val="22"/>
                <w:szCs w:val="22"/>
                <w:color w:val="auto"/>
              </w:rPr>
            </w:pPr>
          </w:p>
        </w:tc>
        <w:tc>
          <w:tcPr>
            <w:tcW w:w="120" w:type="dxa"/>
            <w:vAlign w:val="bottom"/>
            <w:tcBorders>
              <w:top w:val="single" w:sz="8" w:color="005BA5"/>
              <w:bottom w:val="single" w:sz="8" w:color="ACACAC"/>
            </w:tcBorders>
          </w:tcPr>
          <w:p>
            <w:pPr>
              <w:spacing w:after="0"/>
              <w:rPr>
                <w:sz w:val="22"/>
                <w:szCs w:val="22"/>
                <w:color w:val="auto"/>
              </w:rPr>
            </w:pPr>
          </w:p>
        </w:tc>
        <w:tc>
          <w:tcPr>
            <w:tcW w:w="620" w:type="dxa"/>
            <w:vAlign w:val="bottom"/>
            <w:tcBorders>
              <w:top w:val="single" w:sz="8" w:color="005BA5"/>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005BA5"/>
              <w:bottom w:val="single" w:sz="8" w:color="ACACAC"/>
            </w:tcBorders>
          </w:tcPr>
          <w:p>
            <w:pPr>
              <w:spacing w:after="0"/>
              <w:rPr>
                <w:sz w:val="22"/>
                <w:szCs w:val="22"/>
                <w:color w:val="auto"/>
              </w:rPr>
            </w:pPr>
          </w:p>
        </w:tc>
        <w:tc>
          <w:tcPr>
            <w:tcW w:w="80" w:type="dxa"/>
            <w:vAlign w:val="bottom"/>
            <w:tcBorders>
              <w:top w:val="single" w:sz="8" w:color="005BA5"/>
              <w:bottom w:val="single" w:sz="8" w:color="ACACAC"/>
            </w:tcBorders>
          </w:tcPr>
          <w:p>
            <w:pPr>
              <w:spacing w:after="0"/>
              <w:rPr>
                <w:sz w:val="22"/>
                <w:szCs w:val="22"/>
                <w:color w:val="auto"/>
              </w:rPr>
            </w:pPr>
          </w:p>
        </w:tc>
        <w:tc>
          <w:tcPr>
            <w:tcW w:w="120" w:type="dxa"/>
            <w:vAlign w:val="bottom"/>
            <w:tcBorders>
              <w:top w:val="single" w:sz="8" w:color="005BA5"/>
              <w:bottom w:val="single" w:sz="8" w:color="ACACAC"/>
            </w:tcBorders>
          </w:tcPr>
          <w:p>
            <w:pPr>
              <w:spacing w:after="0"/>
              <w:rPr>
                <w:sz w:val="22"/>
                <w:szCs w:val="22"/>
                <w:color w:val="auto"/>
              </w:rPr>
            </w:pPr>
          </w:p>
        </w:tc>
        <w:tc>
          <w:tcPr>
            <w:tcW w:w="240" w:type="dxa"/>
            <w:vAlign w:val="bottom"/>
            <w:tcBorders>
              <w:top w:val="single" w:sz="8" w:color="005BA5"/>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005BA5"/>
              <w:bottom w:val="single" w:sz="8" w:color="ACACAC"/>
            </w:tcBorders>
          </w:tcPr>
          <w:p>
            <w:pPr>
              <w:spacing w:after="0"/>
              <w:rPr>
                <w:sz w:val="22"/>
                <w:szCs w:val="22"/>
                <w:color w:val="auto"/>
              </w:rPr>
            </w:pPr>
          </w:p>
        </w:tc>
        <w:tc>
          <w:tcPr>
            <w:tcW w:w="1300" w:type="dxa"/>
            <w:vAlign w:val="bottom"/>
            <w:tcBorders>
              <w:top w:val="single" w:sz="8" w:color="005BA5"/>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41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U.S. government and agencies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5,386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5,517</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ind w:left="40"/>
              <w:spacing w:after="0"/>
              <w:rPr>
                <w:sz w:val="20"/>
                <w:szCs w:val="20"/>
                <w:color w:val="auto"/>
              </w:rPr>
            </w:pPr>
            <w:r>
              <w:rPr>
                <w:rFonts w:ascii="Arial" w:cs="Arial" w:eastAsia="Arial" w:hAnsi="Arial"/>
                <w:sz w:val="16"/>
                <w:szCs w:val="16"/>
                <w:color w:val="auto"/>
              </w:rPr>
              <w:t>Municipal</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8,963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9,169</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ind w:left="40"/>
              <w:spacing w:after="0"/>
              <w:rPr>
                <w:sz w:val="20"/>
                <w:szCs w:val="20"/>
                <w:color w:val="auto"/>
              </w:rPr>
            </w:pPr>
            <w:r>
              <w:rPr>
                <w:rFonts w:ascii="Arial" w:cs="Arial" w:eastAsia="Arial" w:hAnsi="Arial"/>
                <w:sz w:val="16"/>
                <w:szCs w:val="16"/>
                <w:color w:val="auto"/>
              </w:rPr>
              <w:t>Corporate</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40,536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w w:val="96"/>
              </w:rPr>
              <w:t>(890)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40,136</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Foreign government</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ind w:left="40"/>
              <w:spacing w:after="0"/>
              <w:rPr>
                <w:sz w:val="20"/>
                <w:szCs w:val="20"/>
                <w:color w:val="auto"/>
              </w:rPr>
            </w:pPr>
            <w:r>
              <w:rPr>
                <w:rFonts w:ascii="Arial" w:cs="Arial" w:eastAsia="Arial" w:hAnsi="Arial"/>
                <w:sz w:val="16"/>
                <w:szCs w:val="16"/>
                <w:color w:val="auto"/>
              </w:rPr>
              <w:t>ABS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1,045</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ind w:left="40"/>
              <w:spacing w:after="0"/>
              <w:rPr>
                <w:sz w:val="20"/>
                <w:szCs w:val="20"/>
                <w:color w:val="auto"/>
              </w:rPr>
            </w:pPr>
            <w:r>
              <w:rPr>
                <w:rFonts w:ascii="Arial" w:cs="Arial" w:eastAsia="Arial" w:hAnsi="Arial"/>
                <w:sz w:val="16"/>
                <w:szCs w:val="16"/>
                <w:color w:val="auto"/>
              </w:rPr>
              <w:t>RMBS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33"/>
        </w:trPr>
        <w:tc>
          <w:tcPr>
            <w:tcW w:w="1040" w:type="dxa"/>
            <w:vAlign w:val="bottom"/>
            <w:tcBorders>
              <w:bottom w:val="single" w:sz="8" w:color="ACACAC"/>
            </w:tcBorders>
          </w:tcPr>
          <w:p>
            <w:pPr>
              <w:spacing w:after="0"/>
              <w:rPr>
                <w:sz w:val="2"/>
                <w:szCs w:val="2"/>
                <w:color w:val="auto"/>
              </w:rPr>
            </w:pPr>
          </w:p>
        </w:tc>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ind w:left="40"/>
              <w:spacing w:after="0"/>
              <w:rPr>
                <w:sz w:val="20"/>
                <w:szCs w:val="20"/>
                <w:color w:val="auto"/>
              </w:rPr>
            </w:pPr>
            <w:r>
              <w:rPr>
                <w:rFonts w:ascii="Arial" w:cs="Arial" w:eastAsia="Arial" w:hAnsi="Arial"/>
                <w:sz w:val="16"/>
                <w:szCs w:val="16"/>
                <w:color w:val="auto"/>
              </w:rPr>
              <w:t>CMBS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gridSpan w:val="3"/>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Redeemable preferred stock</w:t>
            </w:r>
          </w:p>
        </w:tc>
        <w:tc>
          <w:tcPr>
            <w:tcW w:w="16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504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4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6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180"/>
              <w:spacing w:after="0"/>
              <w:rPr>
                <w:sz w:val="20"/>
                <w:szCs w:val="20"/>
                <w:color w:val="auto"/>
              </w:rPr>
            </w:pPr>
            <w:r>
              <w:rPr>
                <w:rFonts w:ascii="Arial" w:cs="Arial" w:eastAsia="Arial" w:hAnsi="Arial"/>
                <w:sz w:val="16"/>
                <w:szCs w:val="16"/>
                <w:b w:val="1"/>
                <w:bCs w:val="1"/>
                <w:color w:val="auto"/>
              </w:rPr>
              <w:t>Total fixed income securities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57,134</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993</w:t>
            </w:r>
          </w:p>
        </w:tc>
        <w:tc>
          <w:tcPr>
            <w:tcW w:w="120" w:type="dxa"/>
            <w:vAlign w:val="bottom"/>
          </w:tcPr>
          <w:p>
            <w:pPr>
              <w:spacing w:after="0"/>
              <w:rPr>
                <w:sz w:val="18"/>
                <w:szCs w:val="18"/>
                <w:color w:val="auto"/>
              </w:rPr>
            </w:pPr>
          </w:p>
        </w:tc>
        <w:tc>
          <w:tcPr>
            <w:tcW w:w="1020" w:type="dxa"/>
            <w:vAlign w:val="bottom"/>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4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6"/>
              </w:rPr>
              <w:t>(957)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57,170</w:t>
            </w:r>
          </w:p>
        </w:tc>
        <w:tc>
          <w:tcPr>
            <w:tcW w:w="0" w:type="dxa"/>
            <w:vAlign w:val="bottom"/>
          </w:tcPr>
          <w:p>
            <w:pPr>
              <w:spacing w:after="0"/>
              <w:rPr>
                <w:sz w:val="1"/>
                <w:szCs w:val="1"/>
                <w:color w:val="auto"/>
              </w:rPr>
            </w:pPr>
          </w:p>
        </w:tc>
      </w:tr>
      <w:tr>
        <w:trPr>
          <w:trHeight w:val="33"/>
        </w:trPr>
        <w:tc>
          <w:tcPr>
            <w:tcW w:w="504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4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6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5160" w:type="dxa"/>
            <w:vAlign w:val="bottom"/>
            <w:tcBorders>
              <w:bottom w:val="single" w:sz="8" w:color="auto"/>
            </w:tcBorders>
            <w:gridSpan w:val="3"/>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Scheduled maturities for fixed income securities</w:t>
            </w: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7"/>
          </w:tcPr>
          <w:p>
            <w:pPr>
              <w:jc w:val="right"/>
              <w:ind w:right="1039"/>
              <w:spacing w:after="0"/>
              <w:rPr>
                <w:sz w:val="20"/>
                <w:szCs w:val="20"/>
                <w:color w:val="auto"/>
              </w:rPr>
            </w:pPr>
            <w:r>
              <w:rPr>
                <w:rFonts w:ascii="Arial" w:cs="Arial" w:eastAsia="Arial" w:hAnsi="Arial"/>
                <w:sz w:val="16"/>
                <w:szCs w:val="16"/>
                <w:b w:val="1"/>
                <w:bCs w:val="1"/>
                <w:color w:val="auto"/>
              </w:rPr>
              <w:t>As of March 31, 2019</w:t>
            </w:r>
          </w:p>
        </w:tc>
        <w:tc>
          <w:tcPr>
            <w:tcW w:w="0" w:type="dxa"/>
            <w:vAlign w:val="bottom"/>
          </w:tcPr>
          <w:p>
            <w:pPr>
              <w:spacing w:after="0"/>
              <w:rPr>
                <w:sz w:val="1"/>
                <w:szCs w:val="1"/>
                <w:color w:val="auto"/>
              </w:rPr>
            </w:pPr>
          </w:p>
        </w:tc>
      </w:tr>
      <w:tr>
        <w:trPr>
          <w:trHeight w:val="297"/>
        </w:trPr>
        <w:tc>
          <w:tcPr>
            <w:tcW w:w="104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4000" w:type="dxa"/>
            <w:vAlign w:val="bottom"/>
            <w:tcBorders>
              <w:bottom w:val="single" w:sz="8" w:color="005BA5"/>
            </w:tcBorders>
          </w:tcPr>
          <w:p>
            <w:pPr>
              <w:spacing w:after="0"/>
              <w:rPr>
                <w:sz w:val="24"/>
                <w:szCs w:val="24"/>
                <w:color w:val="auto"/>
              </w:rPr>
            </w:pPr>
          </w:p>
        </w:tc>
        <w:tc>
          <w:tcPr>
            <w:tcW w:w="120" w:type="dxa"/>
            <w:vAlign w:val="bottom"/>
            <w:tcBorders>
              <w:bottom w:val="single" w:sz="8" w:color="005BA5"/>
            </w:tcBorders>
          </w:tcPr>
          <w:p>
            <w:pPr>
              <w:spacing w:after="0"/>
              <w:rPr>
                <w:sz w:val="24"/>
                <w:szCs w:val="24"/>
                <w:color w:val="auto"/>
              </w:rPr>
            </w:pPr>
          </w:p>
        </w:tc>
        <w:tc>
          <w:tcPr>
            <w:tcW w:w="160" w:type="dxa"/>
            <w:vAlign w:val="bottom"/>
            <w:tcBorders>
              <w:bottom w:val="single" w:sz="8" w:color="005BA5"/>
            </w:tcBorders>
          </w:tcPr>
          <w:p>
            <w:pPr>
              <w:spacing w:after="0"/>
              <w:rPr>
                <w:sz w:val="24"/>
                <w:szCs w:val="24"/>
                <w:color w:val="auto"/>
              </w:rPr>
            </w:pPr>
          </w:p>
        </w:tc>
        <w:tc>
          <w:tcPr>
            <w:tcW w:w="1340" w:type="dxa"/>
            <w:vAlign w:val="bottom"/>
            <w:tcBorders>
              <w:bottom w:val="single" w:sz="8" w:color="005BA5"/>
            </w:tcBorders>
          </w:tcPr>
          <w:p>
            <w:pPr>
              <w:spacing w:after="0"/>
              <w:rPr>
                <w:sz w:val="24"/>
                <w:szCs w:val="24"/>
                <w:color w:val="auto"/>
              </w:rPr>
            </w:pPr>
          </w:p>
        </w:tc>
        <w:tc>
          <w:tcPr>
            <w:tcW w:w="120" w:type="dxa"/>
            <w:vAlign w:val="bottom"/>
            <w:tcBorders>
              <w:bottom w:val="single" w:sz="8" w:color="005BA5"/>
            </w:tcBorders>
          </w:tcPr>
          <w:p>
            <w:pPr>
              <w:spacing w:after="0"/>
              <w:rPr>
                <w:sz w:val="24"/>
                <w:szCs w:val="24"/>
                <w:color w:val="auto"/>
              </w:rPr>
            </w:pPr>
          </w:p>
        </w:tc>
        <w:tc>
          <w:tcPr>
            <w:tcW w:w="320" w:type="dxa"/>
            <w:vAlign w:val="bottom"/>
            <w:tcBorders>
              <w:bottom w:val="single" w:sz="8" w:color="005BA5"/>
            </w:tcBorders>
          </w:tcPr>
          <w:p>
            <w:pPr>
              <w:spacing w:after="0"/>
              <w:rPr>
                <w:sz w:val="24"/>
                <w:szCs w:val="24"/>
                <w:color w:val="auto"/>
              </w:rPr>
            </w:pPr>
          </w:p>
        </w:tc>
        <w:tc>
          <w:tcPr>
            <w:tcW w:w="440" w:type="dxa"/>
            <w:vAlign w:val="bottom"/>
            <w:tcBorders>
              <w:bottom w:val="single" w:sz="8" w:color="005BA5"/>
            </w:tcBorders>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Borders>
              <w:bottom w:val="single" w:sz="8" w:color="005BA5"/>
            </w:tcBorders>
            <w:gridSpan w:val="3"/>
          </w:tcPr>
          <w:p>
            <w:pPr>
              <w:jc w:val="right"/>
              <w:ind w:right="239"/>
              <w:spacing w:after="0"/>
              <w:rPr>
                <w:sz w:val="20"/>
                <w:szCs w:val="20"/>
                <w:color w:val="auto"/>
              </w:rPr>
            </w:pPr>
            <w:r>
              <w:rPr>
                <w:rFonts w:ascii="Arial" w:cs="Arial" w:eastAsia="Arial" w:hAnsi="Arial"/>
                <w:sz w:val="16"/>
                <w:szCs w:val="16"/>
                <w:b w:val="1"/>
                <w:bCs w:val="1"/>
                <w:color w:val="auto"/>
              </w:rPr>
              <w:t>Amortized cost</w:t>
            </w:r>
          </w:p>
        </w:tc>
        <w:tc>
          <w:tcPr>
            <w:tcW w:w="80" w:type="dxa"/>
            <w:vAlign w:val="bottom"/>
            <w:tcBorders>
              <w:bottom w:val="single" w:sz="8" w:color="005BA5"/>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005BA5"/>
            </w:tcBorders>
          </w:tcPr>
          <w:p>
            <w:pPr>
              <w:spacing w:after="0"/>
              <w:rPr>
                <w:sz w:val="24"/>
                <w:szCs w:val="24"/>
                <w:color w:val="auto"/>
              </w:rPr>
            </w:pPr>
          </w:p>
        </w:tc>
        <w:tc>
          <w:tcPr>
            <w:tcW w:w="100" w:type="dxa"/>
            <w:vAlign w:val="bottom"/>
            <w:tcBorders>
              <w:bottom w:val="single" w:sz="8" w:color="005BA5"/>
            </w:tcBorders>
          </w:tcPr>
          <w:p>
            <w:pPr>
              <w:spacing w:after="0"/>
              <w:rPr>
                <w:sz w:val="24"/>
                <w:szCs w:val="24"/>
                <w:color w:val="auto"/>
              </w:rPr>
            </w:pPr>
          </w:p>
        </w:tc>
        <w:tc>
          <w:tcPr>
            <w:tcW w:w="160" w:type="dxa"/>
            <w:vAlign w:val="bottom"/>
            <w:tcBorders>
              <w:bottom w:val="single" w:sz="8" w:color="005BA5"/>
            </w:tcBorders>
          </w:tcPr>
          <w:p>
            <w:pPr>
              <w:spacing w:after="0"/>
              <w:rPr>
                <w:sz w:val="24"/>
                <w:szCs w:val="24"/>
                <w:color w:val="auto"/>
              </w:rPr>
            </w:pPr>
          </w:p>
        </w:tc>
        <w:tc>
          <w:tcPr>
            <w:tcW w:w="1300" w:type="dxa"/>
            <w:vAlign w:val="bottom"/>
            <w:tcBorders>
              <w:bottom w:val="single" w:sz="8" w:color="005BA5"/>
            </w:tcBorders>
          </w:tcPr>
          <w:p>
            <w:pPr>
              <w:jc w:val="right"/>
              <w:ind w:right="479"/>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223"/>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Due in one year or less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3"/>
          </w:tcPr>
          <w:p>
            <w:pPr>
              <w:jc w:val="right"/>
              <w:ind w:right="4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3,309</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3,324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CACAC"/>
            </w:tcBorders>
            <w:gridSpan w:val="3"/>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Due after one year through five years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26,701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26,996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CACAC"/>
            </w:tcBorders>
            <w:gridSpan w:val="3"/>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Due after five years through ten years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16,946</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CACAC"/>
            </w:tcBorders>
            <w:gridSpan w:val="3"/>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Due after ten years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9,363</w:t>
            </w:r>
          </w:p>
        </w:tc>
        <w:tc>
          <w:tcPr>
            <w:tcW w:w="0" w:type="dxa"/>
            <w:vAlign w:val="bottom"/>
          </w:tcPr>
          <w:p>
            <w:pPr>
              <w:spacing w:after="0"/>
              <w:rPr>
                <w:sz w:val="1"/>
                <w:szCs w:val="1"/>
                <w:color w:val="auto"/>
              </w:rPr>
            </w:pPr>
          </w:p>
        </w:tc>
      </w:tr>
      <w:tr>
        <w:trPr>
          <w:trHeight w:val="33"/>
        </w:trPr>
        <w:tc>
          <w:tcPr>
            <w:tcW w:w="1040" w:type="dxa"/>
            <w:vAlign w:val="bottom"/>
            <w:tcBorders>
              <w:bottom w:val="single" w:sz="8" w:color="005BA5"/>
            </w:tcBorders>
          </w:tcPr>
          <w:p>
            <w:pPr>
              <w:spacing w:after="0"/>
              <w:rPr>
                <w:sz w:val="2"/>
                <w:szCs w:val="2"/>
                <w:color w:val="auto"/>
              </w:rPr>
            </w:pPr>
          </w:p>
        </w:tc>
        <w:tc>
          <w:tcPr>
            <w:tcW w:w="40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4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55,350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56,629</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CACAC"/>
            </w:tcBorders>
            <w:gridSpan w:val="3"/>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ABS, RMBS and CMBS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1,573</w:t>
            </w:r>
          </w:p>
        </w:tc>
        <w:tc>
          <w:tcPr>
            <w:tcW w:w="0" w:type="dxa"/>
            <w:vAlign w:val="bottom"/>
          </w:tcPr>
          <w:p>
            <w:pPr>
              <w:spacing w:after="0"/>
              <w:rPr>
                <w:sz w:val="1"/>
                <w:szCs w:val="1"/>
                <w:color w:val="auto"/>
              </w:rPr>
            </w:pPr>
          </w:p>
        </w:tc>
      </w:tr>
      <w:tr>
        <w:trPr>
          <w:trHeight w:val="33"/>
        </w:trPr>
        <w:tc>
          <w:tcPr>
            <w:tcW w:w="1040" w:type="dxa"/>
            <w:vAlign w:val="bottom"/>
            <w:tcBorders>
              <w:bottom w:val="single" w:sz="8" w:color="005BA5"/>
            </w:tcBorders>
          </w:tcPr>
          <w:p>
            <w:pPr>
              <w:spacing w:after="0"/>
              <w:rPr>
                <w:sz w:val="2"/>
                <w:szCs w:val="2"/>
                <w:color w:val="auto"/>
              </w:rPr>
            </w:pPr>
          </w:p>
        </w:tc>
        <w:tc>
          <w:tcPr>
            <w:tcW w:w="40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4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040" w:type="dxa"/>
            <w:vAlign w:val="bottom"/>
          </w:tcPr>
          <w:p>
            <w:pPr>
              <w:ind w:left="180"/>
              <w:spacing w:after="0"/>
              <w:rPr>
                <w:sz w:val="20"/>
                <w:szCs w:val="20"/>
                <w:color w:val="auto"/>
              </w:rPr>
            </w:pPr>
            <w:r>
              <w:rPr>
                <w:rFonts w:ascii="Arial" w:cs="Arial" w:eastAsia="Arial" w:hAnsi="Arial"/>
                <w:sz w:val="16"/>
                <w:szCs w:val="16"/>
                <w:b w:val="1"/>
                <w:bCs w:val="1"/>
                <w:color w:val="auto"/>
              </w:rPr>
              <w:t>Total</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56,831</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58,202</w:t>
            </w:r>
          </w:p>
        </w:tc>
        <w:tc>
          <w:tcPr>
            <w:tcW w:w="0" w:type="dxa"/>
            <w:vAlign w:val="bottom"/>
          </w:tcPr>
          <w:p>
            <w:pPr>
              <w:spacing w:after="0"/>
              <w:rPr>
                <w:sz w:val="1"/>
                <w:szCs w:val="1"/>
                <w:color w:val="auto"/>
              </w:rPr>
            </w:pPr>
          </w:p>
        </w:tc>
      </w:tr>
      <w:tr>
        <w:trPr>
          <w:trHeight w:val="33"/>
        </w:trPr>
        <w:tc>
          <w:tcPr>
            <w:tcW w:w="1040" w:type="dxa"/>
            <w:vAlign w:val="bottom"/>
            <w:tcBorders>
              <w:bottom w:val="single" w:sz="8" w:color="005BA5"/>
            </w:tcBorders>
          </w:tcPr>
          <w:p>
            <w:pPr>
              <w:spacing w:after="0"/>
              <w:rPr>
                <w:sz w:val="2"/>
                <w:szCs w:val="2"/>
                <w:color w:val="auto"/>
              </w:rPr>
            </w:pPr>
          </w:p>
        </w:tc>
        <w:tc>
          <w:tcPr>
            <w:tcW w:w="40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4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ind w:right="580" w:firstLine="324"/>
        <w:spacing w:after="0" w:line="260" w:lineRule="auto"/>
        <w:rPr>
          <w:sz w:val="20"/>
          <w:szCs w:val="20"/>
          <w:color w:val="auto"/>
        </w:rPr>
      </w:pPr>
      <w:r>
        <w:rPr>
          <w:rFonts w:ascii="Arial" w:cs="Arial" w:eastAsia="Arial" w:hAnsi="Arial"/>
          <w:sz w:val="16"/>
          <w:szCs w:val="16"/>
          <w:color w:val="auto"/>
        </w:rPr>
        <w:t>Actual maturities may differ from those scheduled as a result of calls and make-whole payments by the issuers. ABS, RMBS and CMBS are shown separately because of the potential for prepayment of principal prior to contractual maturity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16 </w:t>
      </w:r>
      <w:r>
        <w:rPr>
          <w:sz w:val="1"/>
          <w:szCs w:val="1"/>
          <w:color w:val="auto"/>
        </w:rPr>
        <w:drawing>
          <wp:inline distT="0" distB="0" distL="0" distR="0">
            <wp:extent cx="111760" cy="11176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420"/>
          </w:cols>
          <w:pgMar w:left="240" w:top="141" w:right="239" w:bottom="1440" w:gutter="0" w:footer="0" w:header="0"/>
        </w:sectPr>
      </w:pPr>
    </w:p>
    <w:bookmarkStart w:id="20" w:name="page21"/>
    <w:bookmarkEnd w:id="20"/>
    <w:p>
      <w:pPr>
        <w:ind w:left="740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240" w:type="dxa"/>
            <w:vAlign w:val="bottom"/>
            <w:tcBorders>
              <w:bottom w:val="single" w:sz="8" w:color="005BA5"/>
            </w:tcBorders>
          </w:tcPr>
          <w:p>
            <w:pPr>
              <w:spacing w:after="0"/>
              <w:rPr>
                <w:sz w:val="20"/>
                <w:szCs w:val="20"/>
                <w:color w:val="auto"/>
              </w:rPr>
            </w:pPr>
          </w:p>
        </w:tc>
        <w:tc>
          <w:tcPr>
            <w:tcW w:w="11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Fixed income securities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Mortgage loans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Limited partnership interests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b w:val="1"/>
                <w:bCs w:val="1"/>
                <w:color w:val="auto"/>
              </w:rPr>
              <w:t>Investment income, before expense</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719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851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Investment expense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b w:val="1"/>
                <w:bCs w:val="1"/>
                <w:color w:val="auto"/>
              </w:rPr>
              <w:t>Net investment income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648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786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453"/>
        </w:trPr>
        <w:tc>
          <w:tcPr>
            <w:tcW w:w="858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Realized capital gains (losses) by asset type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7"/>
        </w:trPr>
        <w:tc>
          <w:tcPr>
            <w:tcW w:w="8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gridSpan w:val="4"/>
          </w:tcPr>
          <w:p>
            <w:pPr>
              <w:spacing w:after="0"/>
              <w:rPr>
                <w:sz w:val="4"/>
                <w:szCs w:val="4"/>
                <w:color w:val="auto"/>
              </w:rPr>
            </w:pPr>
          </w:p>
        </w:tc>
      </w:tr>
      <w:tr>
        <w:trPr>
          <w:trHeight w:val="231"/>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9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4"/>
                <w:szCs w:val="24"/>
                <w:color w:val="auto"/>
              </w:rPr>
            </w:pPr>
          </w:p>
        </w:tc>
        <w:tc>
          <w:tcPr>
            <w:tcW w:w="240" w:type="dxa"/>
            <w:vAlign w:val="bottom"/>
            <w:tcBorders>
              <w:bottom w:val="single" w:sz="8" w:color="005BA5"/>
            </w:tcBorders>
          </w:tcPr>
          <w:p>
            <w:pPr>
              <w:spacing w:after="0"/>
              <w:rPr>
                <w:sz w:val="24"/>
                <w:szCs w:val="24"/>
                <w:color w:val="auto"/>
              </w:rPr>
            </w:pPr>
          </w:p>
        </w:tc>
        <w:tc>
          <w:tcPr>
            <w:tcW w:w="11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320" w:type="dxa"/>
            <w:vAlign w:val="bottom"/>
            <w:tcBorders>
              <w:bottom w:val="single" w:sz="8" w:color="005BA5"/>
            </w:tcBorders>
          </w:tcPr>
          <w:p>
            <w:pPr>
              <w:spacing w:after="0"/>
              <w:rPr>
                <w:sz w:val="24"/>
                <w:szCs w:val="24"/>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Fixed income securities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Equity securities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Limited partnership interests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Derivatives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b w:val="1"/>
                <w:bCs w:val="1"/>
                <w:color w:val="auto"/>
              </w:rPr>
              <w:t>Realized capital gains and losses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662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(134)</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399"/>
        </w:trPr>
        <w:tc>
          <w:tcPr>
            <w:tcW w:w="858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Realized capital gains (losses) by transaction type</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7"/>
        </w:trPr>
        <w:tc>
          <w:tcPr>
            <w:tcW w:w="8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gridSpan w:val="4"/>
          </w:tcPr>
          <w:p>
            <w:pPr>
              <w:spacing w:after="0"/>
              <w:rPr>
                <w:sz w:val="4"/>
                <w:szCs w:val="4"/>
                <w:color w:val="auto"/>
              </w:rPr>
            </w:pPr>
          </w:p>
        </w:tc>
      </w:tr>
      <w:tr>
        <w:trPr>
          <w:trHeight w:val="231"/>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9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4"/>
                <w:szCs w:val="24"/>
                <w:color w:val="auto"/>
              </w:rPr>
            </w:pPr>
          </w:p>
        </w:tc>
        <w:tc>
          <w:tcPr>
            <w:tcW w:w="240" w:type="dxa"/>
            <w:vAlign w:val="bottom"/>
            <w:tcBorders>
              <w:bottom w:val="single" w:sz="8" w:color="005BA5"/>
            </w:tcBorders>
          </w:tcPr>
          <w:p>
            <w:pPr>
              <w:spacing w:after="0"/>
              <w:rPr>
                <w:sz w:val="24"/>
                <w:szCs w:val="24"/>
                <w:color w:val="auto"/>
              </w:rPr>
            </w:pPr>
          </w:p>
        </w:tc>
        <w:tc>
          <w:tcPr>
            <w:tcW w:w="11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320" w:type="dxa"/>
            <w:vAlign w:val="bottom"/>
            <w:tcBorders>
              <w:bottom w:val="single" w:sz="8" w:color="005BA5"/>
            </w:tcBorders>
          </w:tcPr>
          <w:p>
            <w:pPr>
              <w:spacing w:after="0"/>
              <w:rPr>
                <w:sz w:val="24"/>
                <w:szCs w:val="24"/>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Impairment write-downs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Change in intent write-downs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b w:val="1"/>
                <w:bCs w:val="1"/>
                <w:color w:val="auto"/>
              </w:rPr>
              <w:t>Net OTTI losses recognized in earnings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Sales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Valuation of equity investments </w:t>
            </w:r>
            <w:r>
              <w:rPr>
                <w:rFonts w:ascii="Arial" w:cs="Arial" w:eastAsia="Arial" w:hAnsi="Arial"/>
                <w:sz w:val="27"/>
                <w:szCs w:val="27"/>
                <w:color w:val="005BA5"/>
                <w:vertAlign w:val="superscript"/>
              </w:rPr>
              <w:t>(1)</w:t>
            </w:r>
          </w:p>
        </w:tc>
        <w:tc>
          <w:tcPr>
            <w:tcW w:w="120" w:type="dxa"/>
            <w:vAlign w:val="bottom"/>
          </w:tcPr>
          <w:p>
            <w:pPr>
              <w:spacing w:after="0"/>
              <w:rPr>
                <w:sz w:val="21"/>
                <w:szCs w:val="21"/>
                <w:color w:val="auto"/>
              </w:rPr>
            </w:pPr>
          </w:p>
        </w:tc>
        <w:tc>
          <w:tcPr>
            <w:tcW w:w="24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(83)</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Valuation and settlements of derivative instruments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b w:val="1"/>
                <w:bCs w:val="1"/>
                <w:color w:val="auto"/>
              </w:rPr>
              <w:t>Realized capital gains and losses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662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(134)</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183" w:lineRule="exact"/>
        <w:rPr>
          <w:sz w:val="20"/>
          <w:szCs w:val="20"/>
          <w:color w:val="auto"/>
        </w:rPr>
      </w:pPr>
    </w:p>
    <w:p>
      <w:pPr>
        <w:ind w:left="280" w:hanging="191"/>
        <w:spacing w:after="0"/>
        <w:tabs>
          <w:tab w:leader="none" w:pos="280" w:val="left"/>
        </w:tabs>
        <w:numPr>
          <w:ilvl w:val="0"/>
          <w:numId w:val="7"/>
        </w:numPr>
        <w:rPr>
          <w:rFonts w:ascii="Arial" w:cs="Arial" w:eastAsia="Arial" w:hAnsi="Arial"/>
          <w:sz w:val="23"/>
          <w:szCs w:val="23"/>
          <w:color w:val="005BA5"/>
          <w:vertAlign w:val="superscript"/>
        </w:rPr>
      </w:pPr>
      <w:r>
        <w:rPr>
          <w:rFonts w:ascii="Arial" w:cs="Arial" w:eastAsia="Arial" w:hAnsi="Arial"/>
          <w:sz w:val="14"/>
          <w:szCs w:val="14"/>
          <w:color w:val="auto"/>
        </w:rPr>
        <w:t>Includes valuation of equity securities and certain limited partnership interests where the underlying assets are predominately public equity securities.</w:t>
      </w:r>
    </w:p>
    <w:p>
      <w:pPr>
        <w:spacing w:after="0" w:line="95" w:lineRule="exact"/>
        <w:rPr>
          <w:sz w:val="20"/>
          <w:szCs w:val="20"/>
          <w:color w:val="auto"/>
        </w:rPr>
      </w:pPr>
    </w:p>
    <w:p>
      <w:pPr>
        <w:ind w:right="360" w:firstLine="324"/>
        <w:spacing w:after="0" w:line="260" w:lineRule="auto"/>
        <w:rPr>
          <w:sz w:val="20"/>
          <w:szCs w:val="20"/>
          <w:color w:val="auto"/>
        </w:rPr>
      </w:pPr>
      <w:r>
        <w:rPr>
          <w:rFonts w:ascii="Arial" w:cs="Arial" w:eastAsia="Arial" w:hAnsi="Arial"/>
          <w:sz w:val="16"/>
          <w:szCs w:val="16"/>
          <w:color w:val="auto"/>
        </w:rPr>
        <w:t>Sales of fixed income securities resulted in gross gains of $126 million and $45 million and gross losses of $60 million and $87 million during the three months ended March 31, 2019 and March 31, 2018, respectively.</w:t>
      </w:r>
    </w:p>
    <w:p>
      <w:pPr>
        <w:spacing w:after="0" w:line="88" w:lineRule="exact"/>
        <w:rPr>
          <w:sz w:val="20"/>
          <w:szCs w:val="20"/>
          <w:color w:val="auto"/>
        </w:rPr>
      </w:pPr>
    </w:p>
    <w:p>
      <w:pPr>
        <w:ind w:right="40" w:firstLine="324"/>
        <w:spacing w:after="0" w:line="260" w:lineRule="auto"/>
        <w:rPr>
          <w:sz w:val="20"/>
          <w:szCs w:val="20"/>
          <w:color w:val="auto"/>
        </w:rPr>
      </w:pPr>
      <w:r>
        <w:rPr>
          <w:rFonts w:ascii="Arial" w:cs="Arial" w:eastAsia="Arial" w:hAnsi="Arial"/>
          <w:sz w:val="16"/>
          <w:szCs w:val="16"/>
          <w:color w:val="auto"/>
        </w:rPr>
        <w:t>The following table presents the net pre-tax appreciation (decline) during 2019 and 2018 of equity securities and limited partnership interests carried at fair value still held as of March 31, 2019 and March 31, 2018 recognized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appreciation (decline) recognized in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100" w:type="dxa"/>
            <w:vAlign w:val="bottom"/>
            <w:tcBorders>
              <w:bottom w:val="single" w:sz="8" w:color="005BA5"/>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3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Equity securities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496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Limited partnership interests carried at fair value</w:t>
            </w:r>
          </w:p>
        </w:tc>
        <w:tc>
          <w:tcPr>
            <w:tcW w:w="32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38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c>
          <w:tcPr>
            <w:tcW w:w="38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31"/>
        </w:trPr>
        <w:tc>
          <w:tcPr>
            <w:tcW w:w="85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463</w:t>
            </w:r>
          </w:p>
        </w:tc>
        <w:tc>
          <w:tcPr>
            <w:tcW w:w="38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29</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c>
          <w:tcPr>
            <w:tcW w:w="38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315"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17</w:t>
      </w:r>
    </w:p>
    <w:p>
      <w:pPr>
        <w:sectPr>
          <w:pgSz w:w="11900" w:h="16838" w:orient="portrait"/>
          <w:cols w:equalWidth="0" w:num="1">
            <w:col w:w="11420"/>
          </w:cols>
          <w:pgMar w:left="240" w:top="141" w:right="2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OTTI losses by asset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580" w:type="dxa"/>
            <w:vAlign w:val="bottom"/>
            <w:gridSpan w:val="6"/>
          </w:tcPr>
          <w:p>
            <w:pPr>
              <w:jc w:val="center"/>
              <w:ind w:right="39"/>
              <w:spacing w:after="0"/>
              <w:rPr>
                <w:sz w:val="20"/>
                <w:szCs w:val="20"/>
                <w:color w:val="auto"/>
              </w:rPr>
            </w:pPr>
            <w:r>
              <w:rPr>
                <w:rFonts w:ascii="Arial" w:cs="Arial" w:eastAsia="Arial" w:hAnsi="Arial"/>
                <w:sz w:val="16"/>
                <w:szCs w:val="16"/>
                <w:b w:val="1"/>
                <w:bCs w:val="1"/>
                <w:color w:val="auto"/>
                <w:w w:val="90"/>
              </w:rPr>
              <w:t>Three months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gridSpan w:val="6"/>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680" w:type="dxa"/>
            <w:vAlign w:val="bottom"/>
          </w:tcPr>
          <w:p>
            <w:pPr>
              <w:spacing w:after="0"/>
              <w:rPr>
                <w:sz w:val="18"/>
                <w:szCs w:val="18"/>
                <w:color w:val="auto"/>
              </w:rPr>
            </w:pPr>
          </w:p>
        </w:tc>
      </w:tr>
      <w:tr>
        <w:trPr>
          <w:trHeight w:val="257"/>
        </w:trPr>
        <w:tc>
          <w:tcPr>
            <w:tcW w:w="5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March 31, 2019</w:t>
            </w: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March 31, 2018</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47"/>
        </w:trPr>
        <w:tc>
          <w:tcPr>
            <w:tcW w:w="5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005BA5"/>
            </w:tcBorders>
          </w:tcPr>
          <w:p>
            <w:pPr>
              <w:spacing w:after="0"/>
              <w:rPr>
                <w:sz w:val="4"/>
                <w:szCs w:val="4"/>
                <w:color w:val="auto"/>
              </w:rPr>
            </w:pPr>
          </w:p>
        </w:tc>
        <w:tc>
          <w:tcPr>
            <w:tcW w:w="680" w:type="dxa"/>
            <w:vAlign w:val="bottom"/>
            <w:tcBorders>
              <w:bottom w:val="single" w:sz="8" w:color="005BA5"/>
            </w:tcBorders>
          </w:tcPr>
          <w:p>
            <w:pPr>
              <w:spacing w:after="0"/>
              <w:rPr>
                <w:sz w:val="4"/>
                <w:szCs w:val="4"/>
                <w:color w:val="auto"/>
              </w:rPr>
            </w:pPr>
          </w:p>
        </w:tc>
        <w:tc>
          <w:tcPr>
            <w:tcW w:w="60" w:type="dxa"/>
            <w:vAlign w:val="bottom"/>
            <w:tcBorders>
              <w:bottom w:val="single" w:sz="8" w:color="005BA5"/>
            </w:tcBorders>
          </w:tcPr>
          <w:p>
            <w:pPr>
              <w:spacing w:after="0"/>
              <w:rPr>
                <w:sz w:val="4"/>
                <w:szCs w:val="4"/>
                <w:color w:val="auto"/>
              </w:rPr>
            </w:pPr>
          </w:p>
        </w:tc>
        <w:tc>
          <w:tcPr>
            <w:tcW w:w="120" w:type="dxa"/>
            <w:vAlign w:val="bottom"/>
            <w:tcBorders>
              <w:bottom w:val="single" w:sz="8" w:color="005BA5"/>
            </w:tcBorders>
          </w:tcPr>
          <w:p>
            <w:pPr>
              <w:spacing w:after="0"/>
              <w:rPr>
                <w:sz w:val="4"/>
                <w:szCs w:val="4"/>
                <w:color w:val="auto"/>
              </w:rPr>
            </w:pPr>
          </w:p>
        </w:tc>
        <w:tc>
          <w:tcPr>
            <w:tcW w:w="180" w:type="dxa"/>
            <w:vAlign w:val="bottom"/>
            <w:tcBorders>
              <w:bottom w:val="single" w:sz="8" w:color="005BA5"/>
            </w:tcBorders>
          </w:tcPr>
          <w:p>
            <w:pPr>
              <w:spacing w:after="0"/>
              <w:rPr>
                <w:sz w:val="4"/>
                <w:szCs w:val="4"/>
                <w:color w:val="auto"/>
              </w:rPr>
            </w:pPr>
          </w:p>
        </w:tc>
        <w:tc>
          <w:tcPr>
            <w:tcW w:w="1000" w:type="dxa"/>
            <w:vAlign w:val="bottom"/>
            <w:tcBorders>
              <w:bottom w:val="single" w:sz="8" w:color="005BA5"/>
            </w:tcBorders>
            <w:gridSpan w:val="2"/>
          </w:tcPr>
          <w:p>
            <w:pPr>
              <w:spacing w:after="0"/>
              <w:rPr>
                <w:sz w:val="4"/>
                <w:szCs w:val="4"/>
                <w:color w:val="auto"/>
              </w:rPr>
            </w:pPr>
          </w:p>
        </w:tc>
        <w:tc>
          <w:tcPr>
            <w:tcW w:w="220" w:type="dxa"/>
            <w:vAlign w:val="bottom"/>
            <w:tcBorders>
              <w:bottom w:val="single" w:sz="8" w:color="005BA5"/>
            </w:tcBorders>
          </w:tcPr>
          <w:p>
            <w:pPr>
              <w:spacing w:after="0"/>
              <w:rPr>
                <w:sz w:val="4"/>
                <w:szCs w:val="4"/>
                <w:color w:val="auto"/>
              </w:rPr>
            </w:pPr>
          </w:p>
        </w:tc>
        <w:tc>
          <w:tcPr>
            <w:tcW w:w="700" w:type="dxa"/>
            <w:vAlign w:val="bottom"/>
            <w:tcBorders>
              <w:bottom w:val="single" w:sz="8" w:color="005BA5"/>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5BA5"/>
            </w:tcBorders>
          </w:tcPr>
          <w:p>
            <w:pPr>
              <w:spacing w:after="0"/>
              <w:rPr>
                <w:sz w:val="4"/>
                <w:szCs w:val="4"/>
                <w:color w:val="auto"/>
              </w:rPr>
            </w:pPr>
          </w:p>
        </w:tc>
        <w:tc>
          <w:tcPr>
            <w:tcW w:w="620" w:type="dxa"/>
            <w:vAlign w:val="bottom"/>
            <w:tcBorders>
              <w:bottom w:val="single" w:sz="8" w:color="005BA5"/>
            </w:tcBorders>
          </w:tcPr>
          <w:p>
            <w:pPr>
              <w:spacing w:after="0"/>
              <w:rPr>
                <w:sz w:val="4"/>
                <w:szCs w:val="4"/>
                <w:color w:val="auto"/>
              </w:rPr>
            </w:pPr>
          </w:p>
        </w:tc>
        <w:tc>
          <w:tcPr>
            <w:tcW w:w="100" w:type="dxa"/>
            <w:vAlign w:val="bottom"/>
            <w:tcBorders>
              <w:bottom w:val="single" w:sz="8" w:color="005BA5"/>
            </w:tcBorders>
          </w:tcPr>
          <w:p>
            <w:pPr>
              <w:spacing w:after="0"/>
              <w:rPr>
                <w:sz w:val="4"/>
                <w:szCs w:val="4"/>
                <w:color w:val="auto"/>
              </w:rPr>
            </w:pPr>
          </w:p>
        </w:tc>
        <w:tc>
          <w:tcPr>
            <w:tcW w:w="100" w:type="dxa"/>
            <w:vAlign w:val="bottom"/>
            <w:tcBorders>
              <w:bottom w:val="single" w:sz="8" w:color="005BA5"/>
            </w:tcBorders>
          </w:tcPr>
          <w:p>
            <w:pPr>
              <w:spacing w:after="0"/>
              <w:rPr>
                <w:sz w:val="4"/>
                <w:szCs w:val="4"/>
                <w:color w:val="auto"/>
              </w:rPr>
            </w:pPr>
          </w:p>
        </w:tc>
        <w:tc>
          <w:tcPr>
            <w:tcW w:w="160" w:type="dxa"/>
            <w:vAlign w:val="bottom"/>
            <w:tcBorders>
              <w:bottom w:val="single" w:sz="8" w:color="005BA5"/>
            </w:tcBorders>
          </w:tcPr>
          <w:p>
            <w:pPr>
              <w:spacing w:after="0"/>
              <w:rPr>
                <w:sz w:val="4"/>
                <w:szCs w:val="4"/>
                <w:color w:val="auto"/>
              </w:rPr>
            </w:pPr>
          </w:p>
        </w:tc>
        <w:tc>
          <w:tcPr>
            <w:tcW w:w="960" w:type="dxa"/>
            <w:vAlign w:val="bottom"/>
            <w:tcBorders>
              <w:bottom w:val="single" w:sz="8" w:color="005BA5"/>
            </w:tcBorders>
            <w:gridSpan w:val="2"/>
          </w:tcPr>
          <w:p>
            <w:pPr>
              <w:spacing w:after="0"/>
              <w:rPr>
                <w:sz w:val="4"/>
                <w:szCs w:val="4"/>
                <w:color w:val="auto"/>
              </w:rPr>
            </w:pPr>
          </w:p>
        </w:tc>
        <w:tc>
          <w:tcPr>
            <w:tcW w:w="220" w:type="dxa"/>
            <w:vAlign w:val="bottom"/>
            <w:tcBorders>
              <w:bottom w:val="single" w:sz="8" w:color="005BA5"/>
            </w:tcBorders>
          </w:tcPr>
          <w:p>
            <w:pPr>
              <w:spacing w:after="0"/>
              <w:rPr>
                <w:sz w:val="4"/>
                <w:szCs w:val="4"/>
                <w:color w:val="auto"/>
              </w:rPr>
            </w:pPr>
          </w:p>
        </w:tc>
        <w:tc>
          <w:tcPr>
            <w:tcW w:w="680" w:type="dxa"/>
            <w:vAlign w:val="bottom"/>
            <w:tcBorders>
              <w:bottom w:val="single" w:sz="8" w:color="005BA5"/>
            </w:tcBorders>
          </w:tcPr>
          <w:p>
            <w:pPr>
              <w:spacing w:after="0"/>
              <w:rPr>
                <w:sz w:val="4"/>
                <w:szCs w:val="4"/>
                <w:color w:val="auto"/>
              </w:rPr>
            </w:pPr>
          </w:p>
        </w:tc>
      </w:tr>
      <w:tr>
        <w:trPr>
          <w:trHeight w:val="209"/>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Included</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Included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7"/>
        </w:trPr>
        <w:tc>
          <w:tcPr>
            <w:tcW w:w="504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180" w:type="dxa"/>
            <w:vAlign w:val="bottom"/>
            <w:tcBorders>
              <w:bottom w:val="single" w:sz="8" w:color="005BA5"/>
            </w:tcBorders>
          </w:tcPr>
          <w:p>
            <w:pPr>
              <w:spacing w:after="0"/>
              <w:rPr>
                <w:sz w:val="20"/>
                <w:szCs w:val="20"/>
                <w:color w:val="auto"/>
              </w:rPr>
            </w:pPr>
          </w:p>
        </w:tc>
        <w:tc>
          <w:tcPr>
            <w:tcW w:w="680" w:type="dxa"/>
            <w:vAlign w:val="bottom"/>
            <w:tcBorders>
              <w:bottom w:val="single" w:sz="8" w:color="005BA5"/>
            </w:tcBorders>
          </w:tcPr>
          <w:p>
            <w:pPr>
              <w:jc w:val="right"/>
              <w:ind w:right="119"/>
              <w:spacing w:after="0"/>
              <w:rPr>
                <w:sz w:val="20"/>
                <w:szCs w:val="20"/>
                <w:color w:val="auto"/>
              </w:rPr>
            </w:pPr>
            <w:r>
              <w:rPr>
                <w:rFonts w:ascii="Arial" w:cs="Arial" w:eastAsia="Arial" w:hAnsi="Arial"/>
                <w:sz w:val="16"/>
                <w:szCs w:val="16"/>
                <w:b w:val="1"/>
                <w:bCs w:val="1"/>
                <w:color w:val="auto"/>
                <w:w w:val="99"/>
              </w:rPr>
              <w:t>Gross</w:t>
            </w:r>
          </w:p>
        </w:tc>
        <w:tc>
          <w:tcPr>
            <w:tcW w:w="60" w:type="dxa"/>
            <w:vAlign w:val="bottom"/>
            <w:tcBorders>
              <w:bottom w:val="single" w:sz="8" w:color="005BA5"/>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005BA5"/>
            </w:tcBorders>
          </w:tcPr>
          <w:p>
            <w:pPr>
              <w:spacing w:after="0"/>
              <w:rPr>
                <w:sz w:val="20"/>
                <w:szCs w:val="20"/>
                <w:color w:val="auto"/>
              </w:rPr>
            </w:pPr>
          </w:p>
        </w:tc>
        <w:tc>
          <w:tcPr>
            <w:tcW w:w="880" w:type="dxa"/>
            <w:vAlign w:val="bottom"/>
            <w:tcBorders>
              <w:bottom w:val="single" w:sz="8" w:color="005BA5"/>
            </w:tcBorders>
          </w:tcPr>
          <w:p>
            <w:pPr>
              <w:jc w:val="center"/>
              <w:ind w:right="39"/>
              <w:spacing w:after="0"/>
              <w:rPr>
                <w:sz w:val="20"/>
                <w:szCs w:val="20"/>
                <w:color w:val="auto"/>
              </w:rPr>
            </w:pPr>
            <w:r>
              <w:rPr>
                <w:rFonts w:ascii="Arial" w:cs="Arial" w:eastAsia="Arial" w:hAnsi="Arial"/>
                <w:sz w:val="16"/>
                <w:szCs w:val="16"/>
                <w:b w:val="1"/>
                <w:bCs w:val="1"/>
                <w:color w:val="auto"/>
              </w:rPr>
              <w:t>in OCI</w:t>
            </w:r>
          </w:p>
        </w:tc>
        <w:tc>
          <w:tcPr>
            <w:tcW w:w="120" w:type="dxa"/>
            <w:vAlign w:val="bottom"/>
          </w:tcPr>
          <w:p>
            <w:pPr>
              <w:spacing w:after="0"/>
              <w:rPr>
                <w:sz w:val="20"/>
                <w:szCs w:val="20"/>
                <w:color w:val="auto"/>
              </w:rPr>
            </w:pPr>
          </w:p>
        </w:tc>
        <w:tc>
          <w:tcPr>
            <w:tcW w:w="220" w:type="dxa"/>
            <w:vAlign w:val="bottom"/>
            <w:tcBorders>
              <w:bottom w:val="single" w:sz="8" w:color="005BA5"/>
            </w:tcBorders>
          </w:tcPr>
          <w:p>
            <w:pPr>
              <w:spacing w:after="0"/>
              <w:rPr>
                <w:sz w:val="20"/>
                <w:szCs w:val="20"/>
                <w:color w:val="auto"/>
              </w:rPr>
            </w:pPr>
          </w:p>
        </w:tc>
        <w:tc>
          <w:tcPr>
            <w:tcW w:w="700" w:type="dxa"/>
            <w:vAlign w:val="bottom"/>
            <w:tcBorders>
              <w:bottom w:val="single" w:sz="8" w:color="005BA5"/>
            </w:tcBorders>
          </w:tcPr>
          <w:p>
            <w:pPr>
              <w:jc w:val="right"/>
              <w:ind w:right="259"/>
              <w:spacing w:after="0"/>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20"/>
                <w:szCs w:val="20"/>
                <w:color w:val="auto"/>
              </w:rPr>
            </w:pPr>
          </w:p>
        </w:tc>
        <w:tc>
          <w:tcPr>
            <w:tcW w:w="180" w:type="dxa"/>
            <w:vAlign w:val="bottom"/>
            <w:tcBorders>
              <w:bottom w:val="single" w:sz="8" w:color="005BA5"/>
            </w:tcBorders>
          </w:tcPr>
          <w:p>
            <w:pPr>
              <w:spacing w:after="0"/>
              <w:rPr>
                <w:sz w:val="20"/>
                <w:szCs w:val="20"/>
                <w:color w:val="auto"/>
              </w:rPr>
            </w:pPr>
          </w:p>
        </w:tc>
        <w:tc>
          <w:tcPr>
            <w:tcW w:w="620" w:type="dxa"/>
            <w:vAlign w:val="bottom"/>
            <w:tcBorders>
              <w:bottom w:val="single" w:sz="8" w:color="005BA5"/>
            </w:tcBorders>
          </w:tcPr>
          <w:p>
            <w:pPr>
              <w:ind w:left="80"/>
              <w:spacing w:after="0"/>
              <w:rPr>
                <w:sz w:val="20"/>
                <w:szCs w:val="20"/>
                <w:color w:val="auto"/>
              </w:rPr>
            </w:pPr>
            <w:r>
              <w:rPr>
                <w:rFonts w:ascii="Arial" w:cs="Arial" w:eastAsia="Arial" w:hAnsi="Arial"/>
                <w:sz w:val="16"/>
                <w:szCs w:val="16"/>
                <w:b w:val="1"/>
                <w:bCs w:val="1"/>
                <w:color w:val="auto"/>
              </w:rPr>
              <w:t>Gross</w:t>
            </w:r>
          </w:p>
        </w:tc>
        <w:tc>
          <w:tcPr>
            <w:tcW w:w="100" w:type="dxa"/>
            <w:vAlign w:val="bottom"/>
            <w:tcBorders>
              <w:bottom w:val="single" w:sz="8" w:color="005BA5"/>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005BA5"/>
            </w:tcBorders>
          </w:tcPr>
          <w:p>
            <w:pPr>
              <w:spacing w:after="0"/>
              <w:rPr>
                <w:sz w:val="20"/>
                <w:szCs w:val="20"/>
                <w:color w:val="auto"/>
              </w:rPr>
            </w:pPr>
          </w:p>
        </w:tc>
        <w:tc>
          <w:tcPr>
            <w:tcW w:w="860" w:type="dxa"/>
            <w:vAlign w:val="bottom"/>
            <w:tcBorders>
              <w:bottom w:val="single" w:sz="8" w:color="005BA5"/>
            </w:tcBorders>
          </w:tcPr>
          <w:p>
            <w:pPr>
              <w:jc w:val="center"/>
              <w:ind w:right="59"/>
              <w:spacing w:after="0"/>
              <w:rPr>
                <w:sz w:val="20"/>
                <w:szCs w:val="20"/>
                <w:color w:val="auto"/>
              </w:rPr>
            </w:pPr>
            <w:r>
              <w:rPr>
                <w:rFonts w:ascii="Arial" w:cs="Arial" w:eastAsia="Arial" w:hAnsi="Arial"/>
                <w:sz w:val="16"/>
                <w:szCs w:val="16"/>
                <w:b w:val="1"/>
                <w:bCs w:val="1"/>
                <w:color w:val="auto"/>
              </w:rPr>
              <w:t>in OCI</w:t>
            </w:r>
          </w:p>
        </w:tc>
        <w:tc>
          <w:tcPr>
            <w:tcW w:w="100" w:type="dxa"/>
            <w:vAlign w:val="bottom"/>
          </w:tcPr>
          <w:p>
            <w:pPr>
              <w:spacing w:after="0"/>
              <w:rPr>
                <w:sz w:val="20"/>
                <w:szCs w:val="20"/>
                <w:color w:val="auto"/>
              </w:rPr>
            </w:pPr>
          </w:p>
        </w:tc>
        <w:tc>
          <w:tcPr>
            <w:tcW w:w="220" w:type="dxa"/>
            <w:vAlign w:val="bottom"/>
            <w:tcBorders>
              <w:bottom w:val="single" w:sz="8" w:color="005BA5"/>
            </w:tcBorders>
          </w:tcPr>
          <w:p>
            <w:pPr>
              <w:spacing w:after="0"/>
              <w:rPr>
                <w:sz w:val="20"/>
                <w:szCs w:val="20"/>
                <w:color w:val="auto"/>
              </w:rPr>
            </w:pPr>
          </w:p>
        </w:tc>
        <w:tc>
          <w:tcPr>
            <w:tcW w:w="680" w:type="dxa"/>
            <w:vAlign w:val="bottom"/>
            <w:tcBorders>
              <w:bottom w:val="single" w:sz="8" w:color="005BA5"/>
            </w:tcBorders>
          </w:tcPr>
          <w:p>
            <w:pPr>
              <w:jc w:val="right"/>
              <w:ind w:right="239"/>
              <w:spacing w:after="0"/>
              <w:rPr>
                <w:sz w:val="20"/>
                <w:szCs w:val="20"/>
                <w:color w:val="auto"/>
              </w:rPr>
            </w:pPr>
            <w:r>
              <w:rPr>
                <w:rFonts w:ascii="Arial" w:cs="Arial" w:eastAsia="Arial" w:hAnsi="Arial"/>
                <w:sz w:val="16"/>
                <w:szCs w:val="16"/>
                <w:b w:val="1"/>
                <w:bCs w:val="1"/>
                <w:color w:val="auto"/>
              </w:rPr>
              <w:t>Net</w:t>
            </w:r>
          </w:p>
        </w:tc>
      </w:tr>
      <w:tr>
        <w:trPr>
          <w:trHeight w:val="223"/>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Fixed income securities: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r>
      <w:tr>
        <w:trPr>
          <w:trHeight w:val="21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Corporate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r>
      <w:tr>
        <w:trPr>
          <w:trHeight w:val="21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ABS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r>
      <w:tr>
        <w:trPr>
          <w:trHeight w:val="21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RMBS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r>
      <w:tr>
        <w:trPr>
          <w:trHeight w:val="21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CMBS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50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680" w:type="dxa"/>
            <w:vAlign w:val="bottom"/>
            <w:tcBorders>
              <w:bottom w:val="single" w:sz="8" w:color="005BA5"/>
            </w:tcBorders>
          </w:tcPr>
          <w:p>
            <w:pPr>
              <w:spacing w:after="0"/>
              <w:rPr>
                <w:sz w:val="2"/>
                <w:szCs w:val="2"/>
                <w:color w:val="auto"/>
              </w:rPr>
            </w:pPr>
          </w:p>
        </w:tc>
        <w:tc>
          <w:tcPr>
            <w:tcW w:w="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6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680" w:type="dxa"/>
            <w:vAlign w:val="bottom"/>
            <w:tcBorders>
              <w:bottom w:val="single" w:sz="8" w:color="005BA5"/>
            </w:tcBorders>
          </w:tcPr>
          <w:p>
            <w:pPr>
              <w:spacing w:after="0"/>
              <w:rPr>
                <w:sz w:val="2"/>
                <w:szCs w:val="2"/>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fixed income securities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6"/>
                <w:szCs w:val="16"/>
                <w:b w:val="1"/>
                <w:bCs w:val="1"/>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Limited partnership interests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680" w:type="dxa"/>
            <w:vAlign w:val="bottom"/>
            <w:tcBorders>
              <w:bottom w:val="single" w:sz="8" w:color="ACACAC"/>
            </w:tcBorders>
          </w:tcPr>
          <w:p>
            <w:pPr>
              <w:spacing w:after="0"/>
              <w:rPr>
                <w:sz w:val="2"/>
                <w:szCs w:val="2"/>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680" w:type="dxa"/>
            <w:vAlign w:val="bottom"/>
            <w:tcBorders>
              <w:bottom w:val="single" w:sz="8" w:color="005BA5"/>
            </w:tcBorders>
          </w:tcPr>
          <w:p>
            <w:pPr>
              <w:spacing w:after="0"/>
              <w:rPr>
                <w:sz w:val="2"/>
                <w:szCs w:val="2"/>
                <w:color w:val="auto"/>
              </w:rPr>
            </w:pPr>
          </w:p>
        </w:tc>
        <w:tc>
          <w:tcPr>
            <w:tcW w:w="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6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680" w:type="dxa"/>
            <w:vAlign w:val="bottom"/>
            <w:tcBorders>
              <w:bottom w:val="single" w:sz="8" w:color="005BA5"/>
            </w:tcBorders>
          </w:tcPr>
          <w:p>
            <w:pPr>
              <w:spacing w:after="0"/>
              <w:rPr>
                <w:sz w:val="2"/>
                <w:szCs w:val="2"/>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b w:val="1"/>
                <w:bCs w:val="1"/>
                <w:color w:val="auto"/>
              </w:rPr>
              <w:t>OTTI losses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3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ind w:left="440"/>
              <w:spacing w:after="0"/>
              <w:rPr>
                <w:sz w:val="20"/>
                <w:szCs w:val="20"/>
                <w:color w:val="auto"/>
              </w:rPr>
            </w:pPr>
            <w:r>
              <w:rPr>
                <w:rFonts w:ascii="Arial" w:cs="Arial" w:eastAsia="Arial" w:hAnsi="Arial"/>
                <w:sz w:val="16"/>
                <w:szCs w:val="16"/>
                <w:b w:val="1"/>
                <w:bCs w:val="1"/>
                <w:color w:val="auto"/>
                <w:w w:val="99"/>
              </w:rPr>
              <w:t>—</w:t>
            </w:r>
          </w:p>
        </w:tc>
        <w:tc>
          <w:tcPr>
            <w:tcW w:w="36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33"/>
        </w:trPr>
        <w:tc>
          <w:tcPr>
            <w:tcW w:w="50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680" w:type="dxa"/>
            <w:vAlign w:val="bottom"/>
            <w:tcBorders>
              <w:bottom w:val="single" w:sz="8" w:color="005BA5"/>
            </w:tcBorders>
          </w:tcPr>
          <w:p>
            <w:pPr>
              <w:spacing w:after="0"/>
              <w:rPr>
                <w:sz w:val="2"/>
                <w:szCs w:val="2"/>
                <w:color w:val="auto"/>
              </w:rPr>
            </w:pPr>
          </w:p>
        </w:tc>
        <w:tc>
          <w:tcPr>
            <w:tcW w:w="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6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680" w:type="dxa"/>
            <w:vAlign w:val="bottom"/>
            <w:tcBorders>
              <w:bottom w:val="single" w:sz="8" w:color="005BA5"/>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OTTI losses included in AOCI at the time of impairment for fixed income securities which were not included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840" w:type="dxa"/>
            <w:vAlign w:val="bottom"/>
            <w:tcBorders>
              <w:bottom w:val="single" w:sz="8" w:color="005BA5"/>
            </w:tcBorders>
          </w:tcPr>
          <w:p>
            <w:pPr>
              <w:jc w:val="right"/>
              <w:ind w:right="459"/>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1880" w:type="dxa"/>
            <w:vAlign w:val="bottom"/>
            <w:tcBorders>
              <w:bottom w:val="single" w:sz="8" w:color="005BA5"/>
            </w:tcBorders>
          </w:tcPr>
          <w:p>
            <w:pPr>
              <w:jc w:val="right"/>
              <w:ind w:right="339"/>
              <w:spacing w:after="0"/>
              <w:rPr>
                <w:sz w:val="20"/>
                <w:szCs w:val="20"/>
                <w:color w:val="auto"/>
              </w:rPr>
            </w:pPr>
            <w:r>
              <w:rPr>
                <w:rFonts w:ascii="Arial" w:cs="Arial" w:eastAsia="Arial" w:hAnsi="Arial"/>
                <w:sz w:val="16"/>
                <w:szCs w:val="16"/>
                <w:b w:val="1"/>
                <w:bCs w:val="1"/>
                <w:color w:val="auto"/>
                <w:w w:val="99"/>
              </w:rPr>
              <w:t>December 31, 2018</w:t>
            </w:r>
          </w:p>
        </w:tc>
      </w:tr>
      <w:tr>
        <w:trPr>
          <w:trHeight w:val="223"/>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Municipal</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6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880" w:type="dxa"/>
            <w:vAlign w:val="bottom"/>
            <w:tcBorders>
              <w:bottom w:val="single" w:sz="8" w:color="ACACAC"/>
            </w:tcBorders>
          </w:tcPr>
          <w:p>
            <w:pPr>
              <w:spacing w:after="0"/>
              <w:rPr>
                <w:sz w:val="2"/>
                <w:szCs w:val="2"/>
                <w:color w:val="auto"/>
              </w:rPr>
            </w:pPr>
          </w:p>
        </w:tc>
      </w:tr>
      <w:tr>
        <w:trPr>
          <w:trHeight w:val="21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Corporate</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6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880" w:type="dxa"/>
            <w:vAlign w:val="bottom"/>
            <w:tcBorders>
              <w:bottom w:val="single" w:sz="8" w:color="ACACAC"/>
            </w:tcBorders>
          </w:tcPr>
          <w:p>
            <w:pPr>
              <w:spacing w:after="0"/>
              <w:rPr>
                <w:sz w:val="2"/>
                <w:szCs w:val="2"/>
                <w:color w:val="auto"/>
              </w:rPr>
            </w:pPr>
          </w:p>
        </w:tc>
      </w:tr>
      <w:tr>
        <w:trPr>
          <w:trHeight w:val="21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ABS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6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880" w:type="dxa"/>
            <w:vAlign w:val="bottom"/>
            <w:tcBorders>
              <w:bottom w:val="single" w:sz="8" w:color="ACACAC"/>
            </w:tcBorders>
          </w:tcPr>
          <w:p>
            <w:pPr>
              <w:spacing w:after="0"/>
              <w:rPr>
                <w:sz w:val="2"/>
                <w:szCs w:val="2"/>
                <w:color w:val="auto"/>
              </w:rPr>
            </w:pPr>
          </w:p>
        </w:tc>
      </w:tr>
      <w:tr>
        <w:trPr>
          <w:trHeight w:val="21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RMBS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6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880" w:type="dxa"/>
            <w:vAlign w:val="bottom"/>
            <w:tcBorders>
              <w:bottom w:val="single" w:sz="8" w:color="ACACAC"/>
            </w:tcBorders>
          </w:tcPr>
          <w:p>
            <w:pPr>
              <w:spacing w:after="0"/>
              <w:rPr>
                <w:sz w:val="2"/>
                <w:szCs w:val="2"/>
                <w:color w:val="auto"/>
              </w:rPr>
            </w:pPr>
          </w:p>
        </w:tc>
      </w:tr>
      <w:tr>
        <w:trPr>
          <w:trHeight w:val="21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CMBS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68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880" w:type="dxa"/>
            <w:vAlign w:val="bottom"/>
            <w:tcBorders>
              <w:bottom w:val="single" w:sz="8" w:color="005BA5"/>
            </w:tcBorders>
          </w:tcPr>
          <w:p>
            <w:pPr>
              <w:spacing w:after="0"/>
              <w:rPr>
                <w:sz w:val="2"/>
                <w:szCs w:val="2"/>
                <w:color w:val="auto"/>
              </w:rPr>
            </w:pPr>
          </w:p>
        </w:tc>
      </w:tr>
      <w:tr>
        <w:trPr>
          <w:trHeight w:val="217"/>
        </w:trPr>
        <w:tc>
          <w:tcPr>
            <w:tcW w:w="70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b w:val="1"/>
                <w:bCs w:val="1"/>
                <w:color w:val="auto"/>
              </w:rPr>
              <w:t>(86)</w:t>
            </w:r>
          </w:p>
        </w:tc>
      </w:tr>
      <w:tr>
        <w:trPr>
          <w:trHeight w:val="33"/>
        </w:trPr>
        <w:tc>
          <w:tcPr>
            <w:tcW w:w="68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88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pacing w:after="0" w:line="207"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The amounts exclude $178 million and $180 million as of March 31, 2019 and December 31, 2018, respectively, of net unrealized gains related to changes in valuation of the fixed income securities subsequent to the impairment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Rollforward of the cumulative credit losses recognized in earnings for fixed income securities held 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Beginning balance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Additional credit loss for securities previously other-than-temporarily impaired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Reduction in credit loss for securities disposed or collected</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8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Ending balance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(212)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126"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The Company uses its best estimate of future cash flows expected to be collected from the fixed income security, discounted at the security’s original or current effective rate, as appropriate, to calculate a recovery value and determine whether a credit loss exists. The determination of cash flow estimates is inherently subjective and methodologies may vary depending on facts and circumstances specific to the security. All reasonably available information relevant to the collectability of the security, including past events, current conditions, and reasonable and supportable assumptions and forecasts, are considered when developing the estimate of cash flows expected to be collected. That information generally includes, but is not limited to, the remaining payment terms of the security, prepayment speeds, foreign exchange rates, the financial condition and future earnings potential of the issue or issuer, expected defaults, expected recoveries, the value of underlying collateral, vintage, geographic concentration of underlying collateral, available reserves or escrows, current subordination levels, third party guarantees and other credit</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18 </w:t>
      </w:r>
      <w:r>
        <w:rPr>
          <w:sz w:val="1"/>
          <w:szCs w:val="1"/>
          <w:color w:val="auto"/>
        </w:rPr>
        <w:drawing>
          <wp:inline distT="0" distB="0" distL="0" distR="0">
            <wp:extent cx="111760" cy="1117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enhancements. Other information, such as industry analyst reports and forecasts, sector credit ratings, financial condition of the bond insurer for insured fixed income securities, and other market data relevant to the realizability of contractual cash flows, may also be considered. The estimated fair value of collateral will be used to estimate recovery value if the Company determines that the security is dependent on the liquidation of collateral for ultimate settlement. If the estimated recovery value is less than the amortized cost of the security, a credit loss exists and an OTTI for the difference between the estimated recovery value and amortized cost is recorded in earnings. The portion of the unrealized loss related to factors other than credit remains classified in AOCI. If the Company determines that the fixed income security does not have sufficient cash flow or other information to estimate a recovery value for the security, the Company may conclude that the entire decline in fair value is deemed to be credit related and the loss is recorded in earnings.</w:t>
      </w:r>
    </w:p>
    <w:p>
      <w:pPr>
        <w:sectPr>
          <w:pgSz w:w="11900" w:h="16838" w:orient="portrait"/>
          <w:cols w:equalWidth="0" w:num="2">
            <w:col w:w="5480" w:space="460"/>
            <w:col w:w="5480"/>
          </w:cols>
          <w:pgMar w:left="240" w:top="141" w:right="239" w:bottom="1440" w:gutter="0" w:footer="0" w:header="0"/>
          <w:type w:val="continuous"/>
        </w:sectPr>
      </w:pPr>
    </w:p>
    <w:bookmarkStart w:id="22" w:name="page23"/>
    <w:bookmarkEnd w:id="22"/>
    <w:p>
      <w:pPr>
        <w:ind w:left="740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Unrealized net capital gains and losses included 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95"/>
              </w:rPr>
              <w:t>Fair</w:t>
            </w:r>
          </w:p>
        </w:tc>
        <w:tc>
          <w:tcPr>
            <w:tcW w:w="300" w:type="dxa"/>
            <w:vAlign w:val="bottom"/>
          </w:tcPr>
          <w:p>
            <w:pPr>
              <w:spacing w:after="0"/>
              <w:rPr>
                <w:sz w:val="20"/>
                <w:szCs w:val="20"/>
                <w:color w:val="auto"/>
              </w:rPr>
            </w:pPr>
          </w:p>
        </w:tc>
        <w:tc>
          <w:tcPr>
            <w:tcW w:w="2640" w:type="dxa"/>
            <w:vAlign w:val="bottom"/>
            <w:gridSpan w:val="5"/>
          </w:tcPr>
          <w:p>
            <w:pPr>
              <w:ind w:left="540"/>
              <w:spacing w:after="0"/>
              <w:rPr>
                <w:sz w:val="20"/>
                <w:szCs w:val="20"/>
                <w:color w:val="auto"/>
              </w:rPr>
            </w:pPr>
            <w:r>
              <w:rPr>
                <w:rFonts w:ascii="Arial" w:cs="Arial" w:eastAsia="Arial" w:hAnsi="Arial"/>
                <w:sz w:val="16"/>
                <w:szCs w:val="16"/>
                <w:b w:val="1"/>
                <w:bCs w:val="1"/>
                <w:color w:val="auto"/>
              </w:rPr>
              <w:t>Gross unrealized</w:t>
            </w:r>
          </w:p>
        </w:tc>
        <w:tc>
          <w:tcPr>
            <w:tcW w:w="200" w:type="dxa"/>
            <w:vAlign w:val="bottom"/>
          </w:tcPr>
          <w:p>
            <w:pPr>
              <w:spacing w:after="0"/>
              <w:rPr>
                <w:sz w:val="20"/>
                <w:szCs w:val="20"/>
                <w:color w:val="auto"/>
              </w:rPr>
            </w:pPr>
          </w:p>
        </w:tc>
        <w:tc>
          <w:tcPr>
            <w:tcW w:w="13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Unrealized net</w:t>
            </w: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4160"/>
              <w:spacing w:after="0"/>
              <w:rPr>
                <w:sz w:val="20"/>
                <w:szCs w:val="20"/>
                <w:color w:val="auto"/>
              </w:rPr>
            </w:pPr>
            <w:r>
              <w:rPr>
                <w:rFonts w:ascii="Arial" w:cs="Arial" w:eastAsia="Arial" w:hAnsi="Arial"/>
                <w:sz w:val="16"/>
                <w:szCs w:val="16"/>
                <w:b w:val="1"/>
                <w:bCs w:val="1"/>
                <w:color w:val="auto"/>
              </w:rPr>
              <w:t>March 31, 2019</w:t>
            </w:r>
          </w:p>
        </w:tc>
        <w:tc>
          <w:tcPr>
            <w:tcW w:w="3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7"/>
              </w:rPr>
              <w:t>value</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Losses</w:t>
            </w:r>
          </w:p>
        </w:tc>
        <w:tc>
          <w:tcPr>
            <w:tcW w:w="200" w:type="dxa"/>
            <w:vAlign w:val="bottom"/>
          </w:tcPr>
          <w:p>
            <w:pPr>
              <w:spacing w:after="0"/>
              <w:rPr>
                <w:sz w:val="18"/>
                <w:szCs w:val="18"/>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gains (losses)</w:t>
            </w:r>
          </w:p>
        </w:tc>
        <w:tc>
          <w:tcPr>
            <w:tcW w:w="0" w:type="dxa"/>
            <w:vAlign w:val="bottom"/>
          </w:tcPr>
          <w:p>
            <w:pPr>
              <w:spacing w:after="0"/>
              <w:rPr>
                <w:sz w:val="1"/>
                <w:szCs w:val="1"/>
                <w:color w:val="auto"/>
              </w:rPr>
            </w:pPr>
          </w:p>
        </w:tc>
      </w:tr>
      <w:tr>
        <w:trPr>
          <w:trHeight w:val="33"/>
        </w:trPr>
        <w:tc>
          <w:tcPr>
            <w:tcW w:w="5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Fixed income securities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58,202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1,371</w:t>
            </w:r>
          </w:p>
        </w:tc>
        <w:tc>
          <w:tcPr>
            <w:tcW w:w="0" w:type="dxa"/>
            <w:vAlign w:val="bottom"/>
          </w:tcPr>
          <w:p>
            <w:pPr>
              <w:spacing w:after="0"/>
              <w:rPr>
                <w:sz w:val="1"/>
                <w:szCs w:val="1"/>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4,157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Derivative instruments</w:t>
            </w:r>
          </w:p>
        </w:tc>
        <w:tc>
          <w:tcPr>
            <w:tcW w:w="3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280"/>
              <w:spacing w:after="0"/>
              <w:rPr>
                <w:sz w:val="20"/>
                <w:szCs w:val="20"/>
                <w:color w:val="auto"/>
              </w:rPr>
            </w:pPr>
            <w:r>
              <w:rPr>
                <w:rFonts w:ascii="Arial" w:cs="Arial" w:eastAsia="Arial" w:hAnsi="Arial"/>
                <w:sz w:val="16"/>
                <w:szCs w:val="16"/>
                <w:b w:val="1"/>
                <w:bCs w:val="1"/>
                <w:color w:val="auto"/>
              </w:rPr>
              <w:t>Unrealized net capital gains and losses, pre-tax</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1,368</w:t>
            </w:r>
          </w:p>
        </w:tc>
        <w:tc>
          <w:tcPr>
            <w:tcW w:w="0" w:type="dxa"/>
            <w:vAlign w:val="bottom"/>
          </w:tcPr>
          <w:p>
            <w:pPr>
              <w:spacing w:after="0"/>
              <w:rPr>
                <w:sz w:val="1"/>
                <w:szCs w:val="1"/>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Amounts recognized for:</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ACACAC"/>
            </w:tcBorders>
          </w:tcPr>
          <w:p>
            <w:pPr>
              <w:ind w:left="260"/>
              <w:spacing w:after="0" w:line="250" w:lineRule="exact"/>
              <w:rPr>
                <w:sz w:val="20"/>
                <w:szCs w:val="20"/>
                <w:color w:val="auto"/>
              </w:rPr>
            </w:pPr>
            <w:r>
              <w:rPr>
                <w:rFonts w:ascii="Arial" w:cs="Arial" w:eastAsia="Arial" w:hAnsi="Arial"/>
                <w:sz w:val="16"/>
                <w:szCs w:val="16"/>
                <w:color w:val="auto"/>
              </w:rPr>
              <w:t xml:space="preserve">Insurance reserves </w:t>
            </w:r>
            <w:r>
              <w:rPr>
                <w:rFonts w:ascii="Arial" w:cs="Arial" w:eastAsia="Arial" w:hAnsi="Arial"/>
                <w:sz w:val="27"/>
                <w:szCs w:val="27"/>
                <w:color w:val="005BA5"/>
                <w:vertAlign w:val="superscript"/>
              </w:rPr>
              <w:t>(1)</w:t>
            </w:r>
          </w:p>
        </w:tc>
        <w:tc>
          <w:tcPr>
            <w:tcW w:w="12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ACACAC"/>
            </w:tcBorders>
          </w:tcPr>
          <w:p>
            <w:pPr>
              <w:spacing w:after="0"/>
              <w:rPr>
                <w:sz w:val="21"/>
                <w:szCs w:val="21"/>
                <w:color w:val="auto"/>
              </w:rPr>
            </w:pPr>
          </w:p>
        </w:tc>
        <w:tc>
          <w:tcPr>
            <w:tcW w:w="10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10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138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005BA5"/>
            </w:tcBorders>
          </w:tcPr>
          <w:p>
            <w:pPr>
              <w:ind w:left="260"/>
              <w:spacing w:after="0" w:line="250" w:lineRule="exact"/>
              <w:rPr>
                <w:sz w:val="20"/>
                <w:szCs w:val="20"/>
                <w:color w:val="auto"/>
              </w:rPr>
            </w:pPr>
            <w:r>
              <w:rPr>
                <w:rFonts w:ascii="Arial" w:cs="Arial" w:eastAsia="Arial" w:hAnsi="Arial"/>
                <w:sz w:val="16"/>
                <w:szCs w:val="16"/>
                <w:color w:val="auto"/>
              </w:rPr>
              <w:t xml:space="preserve">DAC and DSI </w:t>
            </w:r>
            <w:r>
              <w:rPr>
                <w:rFonts w:ascii="Arial" w:cs="Arial" w:eastAsia="Arial" w:hAnsi="Arial"/>
                <w:sz w:val="27"/>
                <w:szCs w:val="27"/>
                <w:color w:val="005BA5"/>
                <w:vertAlign w:val="superscript"/>
              </w:rPr>
              <w:t>(2)</w:t>
            </w:r>
          </w:p>
        </w:tc>
        <w:tc>
          <w:tcPr>
            <w:tcW w:w="12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80" w:type="dxa"/>
            <w:vAlign w:val="bottom"/>
            <w:tcBorders>
              <w:bottom w:val="single" w:sz="8" w:color="005BA5"/>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bottom w:val="single" w:sz="8" w:color="005BA5"/>
            </w:tcBorders>
          </w:tcPr>
          <w:p>
            <w:pPr>
              <w:spacing w:after="0"/>
              <w:rPr>
                <w:sz w:val="21"/>
                <w:szCs w:val="21"/>
                <w:color w:val="auto"/>
              </w:rPr>
            </w:pPr>
          </w:p>
        </w:tc>
        <w:tc>
          <w:tcPr>
            <w:tcW w:w="1080" w:type="dxa"/>
            <w:vAlign w:val="bottom"/>
            <w:tcBorders>
              <w:bottom w:val="single" w:sz="8" w:color="005BA5"/>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005BA5"/>
            </w:tcBorders>
          </w:tcPr>
          <w:p>
            <w:pPr>
              <w:spacing w:after="0"/>
              <w:rPr>
                <w:sz w:val="21"/>
                <w:szCs w:val="21"/>
                <w:color w:val="auto"/>
              </w:rPr>
            </w:pPr>
          </w:p>
        </w:tc>
        <w:tc>
          <w:tcPr>
            <w:tcW w:w="1080" w:type="dxa"/>
            <w:vAlign w:val="bottom"/>
            <w:tcBorders>
              <w:bottom w:val="single" w:sz="8" w:color="005BA5"/>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005BA5"/>
            </w:tcBorders>
          </w:tcPr>
          <w:p>
            <w:pPr>
              <w:spacing w:after="0"/>
              <w:rPr>
                <w:sz w:val="21"/>
                <w:szCs w:val="21"/>
                <w:color w:val="auto"/>
              </w:rPr>
            </w:pPr>
          </w:p>
        </w:tc>
        <w:tc>
          <w:tcPr>
            <w:tcW w:w="138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7"/>
        </w:trPr>
        <w:tc>
          <w:tcPr>
            <w:tcW w:w="5380" w:type="dxa"/>
            <w:vAlign w:val="bottom"/>
            <w:gridSpan w:val="2"/>
          </w:tcPr>
          <w:p>
            <w:pPr>
              <w:ind w:left="380"/>
              <w:spacing w:after="0"/>
              <w:rPr>
                <w:sz w:val="20"/>
                <w:szCs w:val="20"/>
                <w:color w:val="auto"/>
              </w:rPr>
            </w:pPr>
            <w:r>
              <w:rPr>
                <w:rFonts w:ascii="Arial" w:cs="Arial" w:eastAsia="Arial" w:hAnsi="Arial"/>
                <w:sz w:val="16"/>
                <w:szCs w:val="16"/>
                <w:b w:val="1"/>
                <w:bCs w:val="1"/>
                <w:color w:val="auto"/>
              </w:rPr>
              <w:t>Amounts recognized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(132)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33"/>
        </w:trPr>
        <w:tc>
          <w:tcPr>
            <w:tcW w:w="5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280"/>
              <w:spacing w:after="0"/>
              <w:rPr>
                <w:sz w:val="20"/>
                <w:szCs w:val="20"/>
                <w:color w:val="auto"/>
              </w:rPr>
            </w:pPr>
            <w:r>
              <w:rPr>
                <w:rFonts w:ascii="Arial" w:cs="Arial" w:eastAsia="Arial" w:hAnsi="Arial"/>
                <w:sz w:val="16"/>
                <w:szCs w:val="16"/>
                <w:b w:val="1"/>
                <w:bCs w:val="1"/>
                <w:color w:val="auto"/>
              </w:rPr>
              <w:t>Unrealized net capital gains and losses, after-tax</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972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280" w:right="160" w:hanging="191"/>
        <w:spacing w:after="0" w:line="203" w:lineRule="auto"/>
        <w:tabs>
          <w:tab w:leader="none" w:pos="280" w:val="left"/>
        </w:tabs>
        <w:numPr>
          <w:ilvl w:val="0"/>
          <w:numId w:val="8"/>
        </w:numPr>
        <w:rPr>
          <w:rFonts w:ascii="Arial" w:cs="Arial" w:eastAsia="Arial" w:hAnsi="Arial"/>
          <w:sz w:val="23"/>
          <w:szCs w:val="23"/>
          <w:color w:val="005BA5"/>
          <w:vertAlign w:val="superscript"/>
        </w:rPr>
      </w:pPr>
      <w:r>
        <w:rPr>
          <w:rFonts w:ascii="Arial" w:cs="Arial" w:eastAsia="Arial" w:hAnsi="Arial"/>
          <w:sz w:val="14"/>
          <w:szCs w:val="14"/>
          <w:color w:val="auto"/>
        </w:rPr>
        <w:t>The insurance reserves adjustment represents the amount by which the reserve balance would increase if the net unrealized gains in the applicable product portfolios were realized and reinvested at lower interest rates, resulting in a premium deficiency. This adjustment primarily relates to structured settlement annuities with life contingencies (a type of immediate fixed annuities).</w:t>
      </w:r>
    </w:p>
    <w:p>
      <w:pPr>
        <w:spacing w:after="0" w:line="98" w:lineRule="exact"/>
        <w:rPr>
          <w:rFonts w:ascii="Arial" w:cs="Arial" w:eastAsia="Arial" w:hAnsi="Arial"/>
          <w:sz w:val="23"/>
          <w:szCs w:val="23"/>
          <w:color w:val="005BA5"/>
          <w:vertAlign w:val="superscript"/>
        </w:rPr>
      </w:pPr>
    </w:p>
    <w:p>
      <w:pPr>
        <w:ind w:left="280" w:right="240" w:hanging="191"/>
        <w:spacing w:after="0" w:line="188" w:lineRule="auto"/>
        <w:tabs>
          <w:tab w:leader="none" w:pos="280" w:val="left"/>
        </w:tabs>
        <w:numPr>
          <w:ilvl w:val="0"/>
          <w:numId w:val="8"/>
        </w:numPr>
        <w:rPr>
          <w:rFonts w:ascii="Arial" w:cs="Arial" w:eastAsia="Arial" w:hAnsi="Arial"/>
          <w:sz w:val="23"/>
          <w:szCs w:val="23"/>
          <w:color w:val="005BA5"/>
          <w:vertAlign w:val="superscript"/>
        </w:rPr>
      </w:pPr>
      <w:r>
        <w:rPr>
          <w:rFonts w:ascii="Arial" w:cs="Arial" w:eastAsia="Arial" w:hAnsi="Arial"/>
          <w:sz w:val="14"/>
          <w:szCs w:val="14"/>
          <w:color w:val="auto"/>
        </w:rPr>
        <w:t>The DAC and DSI adjustment balance represents the amount by which the amortization of DAC and DSI would increase or decrease if the unrealized gains or losses in the respective product portfolios were 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Unrealized net capital gains and losses included in AOCI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200" w:type="dxa"/>
            <w:vAlign w:val="bottom"/>
            <w:gridSpan w:val="2"/>
            <w:vMerge w:val="restart"/>
          </w:tcPr>
          <w:p>
            <w:pPr>
              <w:jc w:val="center"/>
              <w:ind w:right="440"/>
              <w:spacing w:after="0"/>
              <w:rPr>
                <w:sz w:val="20"/>
                <w:szCs w:val="20"/>
                <w:color w:val="auto"/>
              </w:rPr>
            </w:pPr>
            <w:r>
              <w:rPr>
                <w:rFonts w:ascii="Arial" w:cs="Arial" w:eastAsia="Arial" w:hAnsi="Arial"/>
                <w:sz w:val="16"/>
                <w:szCs w:val="16"/>
                <w:b w:val="1"/>
                <w:bCs w:val="1"/>
                <w:color w:val="auto"/>
                <w:w w:val="95"/>
              </w:rPr>
              <w:t>Fair</w:t>
            </w:r>
          </w:p>
        </w:tc>
        <w:tc>
          <w:tcPr>
            <w:tcW w:w="300" w:type="dxa"/>
            <w:vAlign w:val="bottom"/>
          </w:tcPr>
          <w:p>
            <w:pPr>
              <w:spacing w:after="0"/>
              <w:rPr>
                <w:sz w:val="20"/>
                <w:szCs w:val="20"/>
                <w:color w:val="auto"/>
              </w:rPr>
            </w:pPr>
          </w:p>
        </w:tc>
        <w:tc>
          <w:tcPr>
            <w:tcW w:w="2640" w:type="dxa"/>
            <w:vAlign w:val="bottom"/>
            <w:gridSpan w:val="5"/>
          </w:tcPr>
          <w:p>
            <w:pPr>
              <w:ind w:left="540"/>
              <w:spacing w:after="0"/>
              <w:rPr>
                <w:sz w:val="20"/>
                <w:szCs w:val="20"/>
                <w:color w:val="auto"/>
              </w:rPr>
            </w:pPr>
            <w:r>
              <w:rPr>
                <w:rFonts w:ascii="Arial" w:cs="Arial" w:eastAsia="Arial" w:hAnsi="Arial"/>
                <w:sz w:val="16"/>
                <w:szCs w:val="16"/>
                <w:b w:val="1"/>
                <w:bCs w:val="1"/>
                <w:color w:val="auto"/>
              </w:rPr>
              <w:t>Gross unrealized</w:t>
            </w:r>
          </w:p>
        </w:tc>
        <w:tc>
          <w:tcPr>
            <w:tcW w:w="200" w:type="dxa"/>
            <w:vAlign w:val="bottom"/>
          </w:tcPr>
          <w:p>
            <w:pPr>
              <w:spacing w:after="0"/>
              <w:rPr>
                <w:sz w:val="20"/>
                <w:szCs w:val="20"/>
                <w:color w:val="auto"/>
              </w:rPr>
            </w:pPr>
          </w:p>
        </w:tc>
        <w:tc>
          <w:tcPr>
            <w:tcW w:w="138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8"/>
              </w:rPr>
              <w:t>Unrealized net</w:t>
            </w:r>
          </w:p>
        </w:tc>
        <w:tc>
          <w:tcPr>
            <w:tcW w:w="0" w:type="dxa"/>
            <w:vAlign w:val="bottom"/>
          </w:tcPr>
          <w:p>
            <w:pPr>
              <w:spacing w:after="0"/>
              <w:rPr>
                <w:sz w:val="1"/>
                <w:szCs w:val="1"/>
                <w:color w:val="auto"/>
              </w:rPr>
            </w:pPr>
          </w:p>
        </w:tc>
      </w:tr>
      <w:tr>
        <w:trPr>
          <w:trHeight w:val="60"/>
        </w:trPr>
        <w:tc>
          <w:tcPr>
            <w:tcW w:w="5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380" w:type="dxa"/>
            <w:vAlign w:val="bottom"/>
            <w:gridSpan w:val="2"/>
          </w:tcPr>
          <w:p>
            <w:pPr>
              <w:ind w:left="3920"/>
              <w:spacing w:after="0"/>
              <w:rPr>
                <w:sz w:val="20"/>
                <w:szCs w:val="20"/>
                <w:color w:val="auto"/>
              </w:rPr>
            </w:pPr>
            <w:r>
              <w:rPr>
                <w:rFonts w:ascii="Arial" w:cs="Arial" w:eastAsia="Arial" w:hAnsi="Arial"/>
                <w:sz w:val="16"/>
                <w:szCs w:val="16"/>
                <w:b w:val="1"/>
                <w:bCs w:val="1"/>
                <w:color w:val="auto"/>
                <w:w w:val="99"/>
              </w:rPr>
              <w:t>December 31, 2018</w:t>
            </w:r>
          </w:p>
        </w:tc>
        <w:tc>
          <w:tcPr>
            <w:tcW w:w="32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7"/>
              </w:rPr>
              <w:t>value</w:t>
            </w:r>
          </w:p>
        </w:tc>
        <w:tc>
          <w:tcPr>
            <w:tcW w:w="30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Gains</w:t>
            </w: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Losses</w:t>
            </w:r>
          </w:p>
        </w:tc>
        <w:tc>
          <w:tcPr>
            <w:tcW w:w="200" w:type="dxa"/>
            <w:vAlign w:val="bottom"/>
          </w:tcPr>
          <w:p>
            <w:pPr>
              <w:spacing w:after="0"/>
              <w:rPr>
                <w:sz w:val="18"/>
                <w:szCs w:val="18"/>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gains (losses)</w:t>
            </w:r>
          </w:p>
        </w:tc>
        <w:tc>
          <w:tcPr>
            <w:tcW w:w="0" w:type="dxa"/>
            <w:vAlign w:val="bottom"/>
          </w:tcPr>
          <w:p>
            <w:pPr>
              <w:spacing w:after="0"/>
              <w:rPr>
                <w:sz w:val="1"/>
                <w:szCs w:val="1"/>
                <w:color w:val="auto"/>
              </w:rPr>
            </w:pPr>
          </w:p>
        </w:tc>
      </w:tr>
      <w:tr>
        <w:trPr>
          <w:trHeight w:val="33"/>
        </w:trPr>
        <w:tc>
          <w:tcPr>
            <w:tcW w:w="5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Fixed income securities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57,170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(957)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Derivative instruments</w:t>
            </w:r>
          </w:p>
        </w:tc>
        <w:tc>
          <w:tcPr>
            <w:tcW w:w="3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280"/>
              <w:spacing w:after="0"/>
              <w:rPr>
                <w:sz w:val="20"/>
                <w:szCs w:val="20"/>
                <w:color w:val="auto"/>
              </w:rPr>
            </w:pPr>
            <w:r>
              <w:rPr>
                <w:rFonts w:ascii="Arial" w:cs="Arial" w:eastAsia="Arial" w:hAnsi="Arial"/>
                <w:sz w:val="16"/>
                <w:szCs w:val="16"/>
                <w:b w:val="1"/>
                <w:bCs w:val="1"/>
                <w:color w:val="auto"/>
              </w:rPr>
              <w:t>Unrealized net capital gains and losses, pre-tax</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Amounts recognized for:</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Insurance reserves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280"/>
              <w:spacing w:after="0"/>
              <w:rPr>
                <w:sz w:val="20"/>
                <w:szCs w:val="20"/>
                <w:color w:val="auto"/>
              </w:rPr>
            </w:pPr>
            <w:r>
              <w:rPr>
                <w:rFonts w:ascii="Arial" w:cs="Arial" w:eastAsia="Arial" w:hAnsi="Arial"/>
                <w:sz w:val="16"/>
                <w:szCs w:val="16"/>
                <w:color w:val="auto"/>
              </w:rPr>
              <w:t>DAC and DSI</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380"/>
              <w:spacing w:after="0"/>
              <w:rPr>
                <w:sz w:val="20"/>
                <w:szCs w:val="20"/>
                <w:color w:val="auto"/>
              </w:rPr>
            </w:pPr>
            <w:r>
              <w:rPr>
                <w:rFonts w:ascii="Arial" w:cs="Arial" w:eastAsia="Arial" w:hAnsi="Arial"/>
                <w:sz w:val="16"/>
                <w:szCs w:val="16"/>
                <w:b w:val="1"/>
                <w:bCs w:val="1"/>
                <w:color w:val="auto"/>
              </w:rPr>
              <w:t>Amounts recognized</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80" w:type="dxa"/>
            <w:vAlign w:val="bottom"/>
            <w:gridSpan w:val="2"/>
          </w:tcPr>
          <w:p>
            <w:pPr>
              <w:ind w:left="280"/>
              <w:spacing w:after="0"/>
              <w:rPr>
                <w:sz w:val="20"/>
                <w:szCs w:val="20"/>
                <w:color w:val="auto"/>
              </w:rPr>
            </w:pPr>
            <w:r>
              <w:rPr>
                <w:rFonts w:ascii="Arial" w:cs="Arial" w:eastAsia="Arial" w:hAnsi="Arial"/>
                <w:sz w:val="16"/>
                <w:szCs w:val="16"/>
                <w:b w:val="1"/>
                <w:bCs w:val="1"/>
                <w:color w:val="auto"/>
              </w:rPr>
              <w:t>Unrealized net capital gains and losses, after-tax</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0" w:type="dxa"/>
            <w:vAlign w:val="bottom"/>
          </w:tcPr>
          <w:p>
            <w:pPr>
              <w:spacing w:after="0"/>
              <w:rPr>
                <w:sz w:val="1"/>
                <w:szCs w:val="1"/>
                <w:color w:val="auto"/>
              </w:rPr>
            </w:pPr>
          </w:p>
        </w:tc>
      </w:tr>
      <w:tr>
        <w:trPr>
          <w:trHeight w:val="33"/>
        </w:trPr>
        <w:tc>
          <w:tcPr>
            <w:tcW w:w="5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 in unrealized net capital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60" w:gutter="0" w:footer="0" w:header="0"/>
        </w:sect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8058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48"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Fixed income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8058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58058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Three months ended March</w:t>
      </w: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33020</wp:posOffset>
            </wp:positionV>
            <wp:extent cx="13633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62" w:lineRule="exact"/>
        <w:rPr>
          <w:sz w:val="20"/>
          <w:szCs w:val="20"/>
          <w:color w:val="auto"/>
        </w:rPr>
      </w:pPr>
    </w:p>
    <w:p>
      <w:pPr>
        <w:spacing w:after="0"/>
        <w:tabs>
          <w:tab w:leader="none" w:pos="162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42545</wp:posOffset>
            </wp:positionV>
            <wp:extent cx="13633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7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34925</wp:posOffset>
            </wp:positionV>
            <wp:extent cx="13633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8580" w:space="720"/>
            <w:col w:w="2120"/>
          </w:cols>
          <w:pgMar w:left="240" w:top="141" w:right="239" w:bottom="16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9280" w:type="dxa"/>
            <w:vAlign w:val="bottom"/>
            <w:gridSpan w:val="2"/>
          </w:tcPr>
          <w:p>
            <w:pPr>
              <w:ind w:left="600"/>
              <w:spacing w:after="0"/>
              <w:rPr>
                <w:sz w:val="20"/>
                <w:szCs w:val="20"/>
                <w:color w:val="auto"/>
              </w:rPr>
            </w:pPr>
            <w:r>
              <w:rPr>
                <w:rFonts w:ascii="Arial" w:cs="Arial" w:eastAsia="Arial" w:hAnsi="Arial"/>
                <w:sz w:val="16"/>
                <w:szCs w:val="16"/>
                <w:b w:val="1"/>
                <w:bCs w:val="1"/>
                <w:color w:val="auto"/>
              </w:rPr>
              <w:t>Total</w:t>
            </w:r>
          </w:p>
        </w:tc>
        <w:tc>
          <w:tcPr>
            <w:tcW w:w="88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1,335</w:t>
            </w:r>
          </w:p>
        </w:tc>
      </w:tr>
      <w:tr>
        <w:trPr>
          <w:trHeight w:val="33"/>
        </w:trPr>
        <w:tc>
          <w:tcPr>
            <w:tcW w:w="91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r>
      <w:tr>
        <w:trPr>
          <w:trHeight w:val="217"/>
        </w:trPr>
        <w:tc>
          <w:tcPr>
            <w:tcW w:w="9280" w:type="dxa"/>
            <w:vAlign w:val="bottom"/>
            <w:gridSpan w:val="2"/>
          </w:tcPr>
          <w:p>
            <w:pPr>
              <w:ind w:left="40"/>
              <w:spacing w:after="0"/>
              <w:rPr>
                <w:sz w:val="20"/>
                <w:szCs w:val="20"/>
                <w:color w:val="auto"/>
              </w:rPr>
            </w:pPr>
            <w:r>
              <w:rPr>
                <w:rFonts w:ascii="Arial" w:cs="Arial" w:eastAsia="Arial" w:hAnsi="Arial"/>
                <w:sz w:val="16"/>
                <w:szCs w:val="16"/>
                <w:color w:val="auto"/>
              </w:rPr>
              <w:t>Amounts recognized for:</w:t>
            </w:r>
          </w:p>
        </w:tc>
        <w:tc>
          <w:tcPr>
            <w:tcW w:w="8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91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r>
      <w:tr>
        <w:trPr>
          <w:trHeight w:val="217"/>
        </w:trPr>
        <w:tc>
          <w:tcPr>
            <w:tcW w:w="9280" w:type="dxa"/>
            <w:vAlign w:val="bottom"/>
            <w:gridSpan w:val="2"/>
          </w:tcPr>
          <w:p>
            <w:pPr>
              <w:ind w:left="380"/>
              <w:spacing w:after="0"/>
              <w:rPr>
                <w:sz w:val="20"/>
                <w:szCs w:val="20"/>
                <w:color w:val="auto"/>
              </w:rPr>
            </w:pPr>
            <w:r>
              <w:rPr>
                <w:rFonts w:ascii="Arial" w:cs="Arial" w:eastAsia="Arial" w:hAnsi="Arial"/>
                <w:sz w:val="16"/>
                <w:szCs w:val="16"/>
                <w:color w:val="auto"/>
              </w:rPr>
              <w:t>Insurance reserves</w:t>
            </w:r>
          </w:p>
        </w:tc>
        <w:tc>
          <w:tcPr>
            <w:tcW w:w="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91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r>
      <w:tr>
        <w:trPr>
          <w:trHeight w:val="217"/>
        </w:trPr>
        <w:tc>
          <w:tcPr>
            <w:tcW w:w="9280" w:type="dxa"/>
            <w:vAlign w:val="bottom"/>
            <w:gridSpan w:val="2"/>
          </w:tcPr>
          <w:p>
            <w:pPr>
              <w:ind w:left="380"/>
              <w:spacing w:after="0"/>
              <w:rPr>
                <w:sz w:val="20"/>
                <w:szCs w:val="20"/>
                <w:color w:val="auto"/>
              </w:rPr>
            </w:pPr>
            <w:r>
              <w:rPr>
                <w:rFonts w:ascii="Arial" w:cs="Arial" w:eastAsia="Arial" w:hAnsi="Arial"/>
                <w:sz w:val="16"/>
                <w:szCs w:val="16"/>
                <w:color w:val="auto"/>
              </w:rPr>
              <w:t>DAC and DSI</w:t>
            </w:r>
          </w:p>
        </w:tc>
        <w:tc>
          <w:tcPr>
            <w:tcW w:w="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33"/>
        </w:trPr>
        <w:tc>
          <w:tcPr>
            <w:tcW w:w="91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60" w:type="dxa"/>
            <w:vAlign w:val="bottom"/>
            <w:tcBorders>
              <w:bottom w:val="single" w:sz="8" w:color="005BA5"/>
            </w:tcBorders>
          </w:tcPr>
          <w:p>
            <w:pPr>
              <w:spacing w:after="0"/>
              <w:rPr>
                <w:sz w:val="2"/>
                <w:szCs w:val="2"/>
                <w:color w:val="auto"/>
              </w:rPr>
            </w:pPr>
          </w:p>
        </w:tc>
      </w:tr>
      <w:tr>
        <w:trPr>
          <w:trHeight w:val="217"/>
        </w:trPr>
        <w:tc>
          <w:tcPr>
            <w:tcW w:w="9280" w:type="dxa"/>
            <w:vAlign w:val="bottom"/>
            <w:gridSpan w:val="2"/>
          </w:tcPr>
          <w:p>
            <w:pPr>
              <w:ind w:left="600"/>
              <w:spacing w:after="0"/>
              <w:rPr>
                <w:sz w:val="20"/>
                <w:szCs w:val="20"/>
                <w:color w:val="auto"/>
              </w:rPr>
            </w:pPr>
            <w:r>
              <w:rPr>
                <w:rFonts w:ascii="Arial" w:cs="Arial" w:eastAsia="Arial" w:hAnsi="Arial"/>
                <w:sz w:val="16"/>
                <w:szCs w:val="16"/>
                <w:b w:val="1"/>
                <w:bCs w:val="1"/>
                <w:color w:val="auto"/>
              </w:rPr>
              <w:t>Amounts recognized</w:t>
            </w:r>
          </w:p>
        </w:tc>
        <w:tc>
          <w:tcPr>
            <w:tcW w:w="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(99)</w:t>
            </w:r>
          </w:p>
        </w:tc>
      </w:tr>
      <w:tr>
        <w:trPr>
          <w:trHeight w:val="33"/>
        </w:trPr>
        <w:tc>
          <w:tcPr>
            <w:tcW w:w="91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r>
      <w:tr>
        <w:trPr>
          <w:trHeight w:val="217"/>
        </w:trPr>
        <w:tc>
          <w:tcPr>
            <w:tcW w:w="9280" w:type="dxa"/>
            <w:vAlign w:val="bottom"/>
            <w:gridSpan w:val="2"/>
          </w:tcPr>
          <w:p>
            <w:pPr>
              <w:ind w:left="40"/>
              <w:spacing w:after="0"/>
              <w:rPr>
                <w:sz w:val="20"/>
                <w:szCs w:val="20"/>
                <w:color w:val="auto"/>
              </w:rPr>
            </w:pPr>
            <w:r>
              <w:rPr>
                <w:rFonts w:ascii="Arial" w:cs="Arial" w:eastAsia="Arial" w:hAnsi="Arial"/>
                <w:sz w:val="16"/>
                <w:szCs w:val="16"/>
                <w:color w:val="auto"/>
              </w:rPr>
              <w:t>Deferred income taxes</w:t>
            </w:r>
          </w:p>
        </w:tc>
        <w:tc>
          <w:tcPr>
            <w:tcW w:w="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(262)</w:t>
            </w:r>
          </w:p>
        </w:tc>
      </w:tr>
      <w:tr>
        <w:trPr>
          <w:trHeight w:val="33"/>
        </w:trPr>
        <w:tc>
          <w:tcPr>
            <w:tcW w:w="91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60" w:type="dxa"/>
            <w:vAlign w:val="bottom"/>
            <w:tcBorders>
              <w:bottom w:val="single" w:sz="8" w:color="005BA5"/>
            </w:tcBorders>
          </w:tcPr>
          <w:p>
            <w:pPr>
              <w:spacing w:after="0"/>
              <w:rPr>
                <w:sz w:val="2"/>
                <w:szCs w:val="2"/>
                <w:color w:val="auto"/>
              </w:rPr>
            </w:pPr>
          </w:p>
        </w:tc>
      </w:tr>
      <w:tr>
        <w:trPr>
          <w:trHeight w:val="217"/>
        </w:trPr>
        <w:tc>
          <w:tcPr>
            <w:tcW w:w="9280" w:type="dxa"/>
            <w:vAlign w:val="bottom"/>
            <w:gridSpan w:val="2"/>
          </w:tcPr>
          <w:p>
            <w:pPr>
              <w:ind w:left="40"/>
              <w:spacing w:after="0"/>
              <w:rPr>
                <w:sz w:val="20"/>
                <w:szCs w:val="20"/>
                <w:color w:val="auto"/>
              </w:rPr>
            </w:pPr>
            <w:r>
              <w:rPr>
                <w:rFonts w:ascii="Arial" w:cs="Arial" w:eastAsia="Arial" w:hAnsi="Arial"/>
                <w:sz w:val="16"/>
                <w:szCs w:val="16"/>
                <w:b w:val="1"/>
                <w:bCs w:val="1"/>
                <w:color w:val="auto"/>
              </w:rPr>
              <w:t>Increase in unrealized net capital gains and losses, after-tax</w:t>
            </w:r>
          </w:p>
        </w:tc>
        <w:tc>
          <w:tcPr>
            <w:tcW w:w="880" w:type="dxa"/>
            <w:vAlign w:val="bottom"/>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974</w:t>
            </w:r>
          </w:p>
        </w:tc>
      </w:tr>
      <w:tr>
        <w:trPr>
          <w:trHeight w:val="33"/>
        </w:trPr>
        <w:tc>
          <w:tcPr>
            <w:tcW w:w="91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6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6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Portfolio monitoring</w:t>
      </w:r>
    </w:p>
    <w:p>
      <w:pPr>
        <w:spacing w:after="0" w:line="13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6"/>
          <w:szCs w:val="16"/>
          <w:color w:val="auto"/>
        </w:rPr>
        <w:t>The Company has a comprehensive portfolio monitoring process to identify and evaluate each fixed income security whose carrying value may be other-than-temporarily impaired</w:t>
      </w:r>
      <w:r>
        <w:rPr>
          <w:rFonts w:ascii="Arial" w:cs="Arial" w:eastAsia="Arial" w:hAnsi="Arial"/>
          <w:sz w:val="16"/>
          <w:szCs w:val="16"/>
          <w:i w:val="1"/>
          <w:iCs w:val="1"/>
          <w:color w:val="auto"/>
        </w:rPr>
        <w:t>.</w:t>
      </w:r>
    </w:p>
    <w:p>
      <w:pPr>
        <w:spacing w:after="0" w:line="93"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For each fixed income security in an unrealized loss position, the Company assesses whether management with the appropriate authority has made the decision to sell or whether it is more likely than not the Company will be required to sell the security before recovery of the amortized cost basis for reasons such as liquidity, contractual or regulatory purposes. If a security meets either of these criteria, the security’s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decline in fair value is considered other than temporary and is recorded in earnings.</w:t>
      </w:r>
    </w:p>
    <w:p>
      <w:pPr>
        <w:spacing w:after="0" w:line="88" w:lineRule="exact"/>
        <w:rPr>
          <w:sz w:val="20"/>
          <w:szCs w:val="20"/>
          <w:color w:val="auto"/>
        </w:rPr>
      </w:pPr>
    </w:p>
    <w:p>
      <w:pPr>
        <w:ind w:right="20" w:firstLine="324"/>
        <w:spacing w:after="0" w:line="248" w:lineRule="auto"/>
        <w:rPr>
          <w:sz w:val="20"/>
          <w:szCs w:val="20"/>
          <w:color w:val="auto"/>
        </w:rPr>
      </w:pPr>
      <w:r>
        <w:rPr>
          <w:rFonts w:ascii="Arial" w:cs="Arial" w:eastAsia="Arial" w:hAnsi="Arial"/>
          <w:sz w:val="16"/>
          <w:szCs w:val="16"/>
          <w:color w:val="auto"/>
        </w:rPr>
        <w:t>If the Company has not made the decision to sell the fixed income security and it is not more likely than not the Company will be required to sell the fixed income security before recovery of its amortized cost basis, the Company evaluates whether it expects to receive cash flows sufficient to recover the entire amortized cost basis of the security. The Company calculates the estimated recovery value by discounting the best estimate of future cash flows at the security’s original or current effective rate, as appropriate, and compares this to the amortized cost of the security. If the Company does not expect to receive cash flows</w:t>
      </w:r>
    </w:p>
    <w:p>
      <w:pPr>
        <w:spacing w:after="0" w:line="200" w:lineRule="exact"/>
        <w:rPr>
          <w:sz w:val="20"/>
          <w:szCs w:val="20"/>
          <w:color w:val="auto"/>
        </w:rPr>
      </w:pPr>
    </w:p>
    <w:p>
      <w:pPr>
        <w:sectPr>
          <w:pgSz w:w="11900" w:h="16838" w:orient="portrait"/>
          <w:cols w:equalWidth="0" w:num="2">
            <w:col w:w="5480" w:space="460"/>
            <w:col w:w="5480"/>
          </w:cols>
          <w:pgMar w:left="240" w:top="141" w:right="239" w:bottom="160" w:gutter="0" w:footer="0" w:header="0"/>
          <w:type w:val="continuous"/>
        </w:sectPr>
      </w:pPr>
    </w:p>
    <w:p>
      <w:pPr>
        <w:spacing w:after="0" w:line="142"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19</w:t>
      </w:r>
    </w:p>
    <w:p>
      <w:pPr>
        <w:sectPr>
          <w:pgSz w:w="11900" w:h="16838" w:orient="portrait"/>
          <w:cols w:equalWidth="0" w:num="1">
            <w:col w:w="11420"/>
          </w:cols>
          <w:pgMar w:left="240" w:top="141" w:right="239" w:bottom="16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sufficient to recover the entire amortized cost basis of the fixed income security, the credit loss component of the impairment is recorded in earnings, with the remaining amount of the unrealized loss related to other factors recognized in OCI.</w:t>
      </w:r>
    </w:p>
    <w:p>
      <w:pPr>
        <w:spacing w:after="0" w:line="95"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The Company’s portfolio monitoring process includes a quarterly review of all securities to identify instances where the fair value of a security compared to its amortized cost is below established thresholds. The process also includes the monitoring of other impairment indicators such as ratings, ratings downgrades and payment defaults. The securities identified, in addition to other securities for which the Company may have a concern, are evaluated for potential OTTI using all reasonably available information relevant to the collectability or recovery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security. Inherent in the Company’s evaluation of OTTI for these securities are assumptions and estimates about the financial condition and future earnings potential of the issue or issuer. Some of the factors that may be considered in evaluating whether a decline in fair value is other than temporary are: 1) the financial condition, near-term and long-term prospects of the issue or issuer, including relevant industry specific market conditions and trends, geographic location and implications of rating agency actions and offering prices; 2) the specific reasons that a security is in an unrealized loss position, including overall market conditions which could affect liquidity; and 3) the length of time and extent to which the fair value has been less than amortized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334645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3" w:lineRule="exact"/>
        <w:rPr>
          <w:sz w:val="20"/>
          <w:szCs w:val="20"/>
          <w:color w:val="auto"/>
        </w:rPr>
      </w:pPr>
    </w:p>
    <w:p>
      <w:pPr>
        <w:sectPr>
          <w:pgSz w:w="11900" w:h="16838" w:orient="portrait"/>
          <w:cols w:equalWidth="0" w:num="2">
            <w:col w:w="5480" w:space="460"/>
            <w:col w:w="5480"/>
          </w:cols>
          <w:pgMar w:left="240" w:top="141" w:right="239" w:bottom="1440" w:gutter="0" w:footer="0" w:header="0"/>
        </w:sectPr>
      </w:pPr>
    </w:p>
    <w:p>
      <w:pPr>
        <w:spacing w:after="0" w:line="5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Gross unrealized losses and fair value by type and length of time held in a continuous unrealized loss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8"/>
          </w:tcPr>
          <w:p>
            <w:pPr>
              <w:ind w:left="20"/>
              <w:spacing w:after="0"/>
              <w:rPr>
                <w:sz w:val="20"/>
                <w:szCs w:val="20"/>
                <w:color w:val="auto"/>
              </w:rPr>
            </w:pPr>
            <w:r>
              <w:rPr>
                <w:rFonts w:ascii="Arial" w:cs="Arial" w:eastAsia="Arial" w:hAnsi="Arial"/>
                <w:sz w:val="16"/>
                <w:szCs w:val="16"/>
                <w:b w:val="1"/>
                <w:bCs w:val="1"/>
                <w:color w:val="auto"/>
              </w:rPr>
              <w:t>Less than 12 months</w:t>
            </w:r>
          </w:p>
        </w:tc>
        <w:tc>
          <w:tcPr>
            <w:tcW w:w="820" w:type="dxa"/>
            <w:vAlign w:val="bottom"/>
          </w:tcPr>
          <w:p>
            <w:pPr>
              <w:spacing w:after="0"/>
              <w:rPr>
                <w:sz w:val="18"/>
                <w:szCs w:val="18"/>
                <w:color w:val="auto"/>
              </w:rPr>
            </w:pPr>
          </w:p>
        </w:tc>
        <w:tc>
          <w:tcPr>
            <w:tcW w:w="1360" w:type="dxa"/>
            <w:vAlign w:val="bottom"/>
            <w:gridSpan w:val="6"/>
          </w:tcPr>
          <w:p>
            <w:pPr>
              <w:jc w:val="right"/>
              <w:spacing w:after="0"/>
              <w:rPr>
                <w:sz w:val="20"/>
                <w:szCs w:val="20"/>
                <w:color w:val="auto"/>
              </w:rPr>
            </w:pPr>
            <w:r>
              <w:rPr>
                <w:rFonts w:ascii="Arial" w:cs="Arial" w:eastAsia="Arial" w:hAnsi="Arial"/>
                <w:sz w:val="16"/>
                <w:szCs w:val="16"/>
                <w:b w:val="1"/>
                <w:bCs w:val="1"/>
                <w:color w:val="auto"/>
                <w:w w:val="92"/>
              </w:rPr>
              <w:t>12 months or more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left="40"/>
              <w:spacing w:after="0" w:line="147"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Unrealized</w:t>
            </w: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2"/>
                <w:szCs w:val="12"/>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in millions)</w:t>
            </w:r>
          </w:p>
        </w:tc>
        <w:tc>
          <w:tcPr>
            <w:tcW w:w="120" w:type="dxa"/>
            <w:vAlign w:val="bottom"/>
            <w:vMerge w:val="restart"/>
          </w:tcPr>
          <w:p>
            <w:pPr>
              <w:spacing w:after="0"/>
              <w:rPr>
                <w:sz w:val="12"/>
                <w:szCs w:val="12"/>
                <w:color w:val="auto"/>
              </w:rPr>
            </w:pPr>
          </w:p>
        </w:tc>
        <w:tc>
          <w:tcPr>
            <w:tcW w:w="820" w:type="dxa"/>
            <w:vAlign w:val="bottom"/>
          </w:tcPr>
          <w:p>
            <w:pPr>
              <w:jc w:val="center"/>
              <w:ind w:left="2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005BA5"/>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tcBorders>
              <w:bottom w:val="single" w:sz="8" w:color="005BA5"/>
            </w:tcBorders>
          </w:tcPr>
          <w:p>
            <w:pPr>
              <w:jc w:val="center"/>
              <w:ind w:left="40"/>
              <w:spacing w:after="0"/>
              <w:rPr>
                <w:sz w:val="20"/>
                <w:szCs w:val="20"/>
                <w:color w:val="auto"/>
              </w:rPr>
            </w:pPr>
            <w:r>
              <w:rPr>
                <w:rFonts w:ascii="Arial" w:cs="Arial" w:eastAsia="Arial" w:hAnsi="Arial"/>
                <w:sz w:val="14"/>
                <w:szCs w:val="14"/>
                <w:b w:val="1"/>
                <w:bCs w:val="1"/>
                <w:color w:val="auto"/>
                <w:w w:val="77"/>
              </w:rPr>
              <w:t>issues</w:t>
            </w:r>
          </w:p>
        </w:tc>
        <w:tc>
          <w:tcPr>
            <w:tcW w:w="120" w:type="dxa"/>
            <w:vAlign w:val="bottom"/>
            <w:tcBorders>
              <w:bottom w:val="single" w:sz="8" w:color="005BA5"/>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005BA5"/>
            </w:tcBorders>
          </w:tcPr>
          <w:p>
            <w:pPr>
              <w:spacing w:after="0"/>
              <w:rPr>
                <w:sz w:val="16"/>
                <w:szCs w:val="16"/>
                <w:color w:val="auto"/>
              </w:rPr>
            </w:pPr>
          </w:p>
        </w:tc>
        <w:tc>
          <w:tcPr>
            <w:tcW w:w="640" w:type="dxa"/>
            <w:vAlign w:val="bottom"/>
            <w:tcBorders>
              <w:bottom w:val="single" w:sz="8" w:color="005BA5"/>
            </w:tcBorders>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60" w:type="dxa"/>
            <w:vAlign w:val="bottom"/>
            <w:tcBorders>
              <w:bottom w:val="single" w:sz="8" w:color="005BA5"/>
            </w:tcBorders>
          </w:tcPr>
          <w:p>
            <w:pPr>
              <w:spacing w:after="0"/>
              <w:rPr>
                <w:sz w:val="16"/>
                <w:szCs w:val="16"/>
                <w:color w:val="auto"/>
              </w:rPr>
            </w:pPr>
          </w:p>
        </w:tc>
        <w:tc>
          <w:tcPr>
            <w:tcW w:w="880" w:type="dxa"/>
            <w:vAlign w:val="bottom"/>
            <w:tcBorders>
              <w:bottom w:val="single" w:sz="8" w:color="005BA5"/>
            </w:tcBorders>
          </w:tcPr>
          <w:p>
            <w:pPr>
              <w:jc w:val="right"/>
              <w:ind w:right="26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820" w:type="dxa"/>
            <w:vAlign w:val="bottom"/>
            <w:tcBorders>
              <w:bottom w:val="single" w:sz="8" w:color="005BA5"/>
            </w:tcBorders>
          </w:tcPr>
          <w:p>
            <w:pPr>
              <w:jc w:val="center"/>
              <w:spacing w:after="0"/>
              <w:rPr>
                <w:sz w:val="20"/>
                <w:szCs w:val="20"/>
                <w:color w:val="auto"/>
              </w:rPr>
            </w:pPr>
            <w:r>
              <w:rPr>
                <w:rFonts w:ascii="Arial" w:cs="Arial" w:eastAsia="Arial" w:hAnsi="Arial"/>
                <w:sz w:val="14"/>
                <w:szCs w:val="14"/>
                <w:b w:val="1"/>
                <w:bCs w:val="1"/>
                <w:color w:val="auto"/>
                <w:w w:val="77"/>
              </w:rPr>
              <w:t>issues</w:t>
            </w:r>
          </w:p>
        </w:tc>
        <w:tc>
          <w:tcPr>
            <w:tcW w:w="80" w:type="dxa"/>
            <w:vAlign w:val="bottom"/>
            <w:tcBorders>
              <w:bottom w:val="single" w:sz="8" w:color="005BA5"/>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005BA5"/>
            </w:tcBorders>
          </w:tcPr>
          <w:p>
            <w:pPr>
              <w:spacing w:after="0"/>
              <w:rPr>
                <w:sz w:val="16"/>
                <w:szCs w:val="16"/>
                <w:color w:val="auto"/>
              </w:rPr>
            </w:pPr>
          </w:p>
        </w:tc>
        <w:tc>
          <w:tcPr>
            <w:tcW w:w="700" w:type="dxa"/>
            <w:vAlign w:val="bottom"/>
            <w:tcBorders>
              <w:bottom w:val="single" w:sz="8" w:color="005BA5"/>
            </w:tcBorders>
          </w:tcPr>
          <w:p>
            <w:pPr>
              <w:jc w:val="right"/>
              <w:ind w:right="20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80" w:type="dxa"/>
            <w:vAlign w:val="bottom"/>
            <w:tcBorders>
              <w:bottom w:val="single" w:sz="8" w:color="005BA5"/>
            </w:tcBorders>
          </w:tcPr>
          <w:p>
            <w:pPr>
              <w:spacing w:after="0"/>
              <w:rPr>
                <w:sz w:val="16"/>
                <w:szCs w:val="16"/>
                <w:color w:val="auto"/>
              </w:rPr>
            </w:pPr>
          </w:p>
        </w:tc>
        <w:tc>
          <w:tcPr>
            <w:tcW w:w="840" w:type="dxa"/>
            <w:vAlign w:val="bottom"/>
            <w:tcBorders>
              <w:bottom w:val="single" w:sz="8" w:color="005BA5"/>
            </w:tcBorders>
          </w:tcPr>
          <w:p>
            <w:pPr>
              <w:jc w:val="right"/>
              <w:ind w:right="260"/>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160" w:type="dxa"/>
            <w:vAlign w:val="bottom"/>
            <w:tcBorders>
              <w:bottom w:val="single" w:sz="8" w:color="005BA5"/>
            </w:tcBorders>
          </w:tcPr>
          <w:p>
            <w:pPr>
              <w:spacing w:after="0"/>
              <w:rPr>
                <w:sz w:val="16"/>
                <w:szCs w:val="16"/>
                <w:color w:val="auto"/>
              </w:rPr>
            </w:pPr>
          </w:p>
        </w:tc>
        <w:tc>
          <w:tcPr>
            <w:tcW w:w="860" w:type="dxa"/>
            <w:vAlign w:val="bottom"/>
            <w:tcBorders>
              <w:bottom w:val="single" w:sz="8" w:color="005BA5"/>
            </w:tcBorders>
          </w:tcPr>
          <w:p>
            <w:pPr>
              <w:jc w:val="center"/>
              <w:ind w:right="80"/>
              <w:spacing w:after="0"/>
              <w:rPr>
                <w:sz w:val="20"/>
                <w:szCs w:val="20"/>
                <w:color w:val="auto"/>
              </w:rPr>
            </w:pPr>
            <w:r>
              <w:rPr>
                <w:rFonts w:ascii="Arial" w:cs="Arial" w:eastAsia="Arial" w:hAnsi="Arial"/>
                <w:sz w:val="14"/>
                <w:szCs w:val="14"/>
                <w:b w:val="1"/>
                <w:bCs w:val="1"/>
                <w:color w:val="auto"/>
                <w:w w:val="77"/>
              </w:rPr>
              <w:t>losses</w:t>
            </w:r>
          </w:p>
        </w:tc>
        <w:tc>
          <w:tcPr>
            <w:tcW w:w="0" w:type="dxa"/>
            <w:vAlign w:val="bottom"/>
          </w:tcPr>
          <w:p>
            <w:pPr>
              <w:spacing w:after="0"/>
              <w:rPr>
                <w:sz w:val="1"/>
                <w:szCs w:val="1"/>
                <w:color w:val="auto"/>
              </w:rPr>
            </w:pPr>
          </w:p>
        </w:tc>
      </w:tr>
      <w:tr>
        <w:trPr>
          <w:trHeight w:val="223"/>
        </w:trPr>
        <w:tc>
          <w:tcPr>
            <w:tcW w:w="41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March 31, 2019</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Fixed income securities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U.S. government and agencies</w:t>
            </w: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39</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Municipal</w:t>
            </w:r>
          </w:p>
        </w:tc>
        <w:tc>
          <w:tcPr>
            <w:tcW w:w="82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742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Corporate</w:t>
            </w:r>
          </w:p>
        </w:tc>
        <w:tc>
          <w:tcPr>
            <w:tcW w:w="82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3,249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10,382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Foreign government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ABS</w:t>
            </w:r>
          </w:p>
        </w:tc>
        <w:tc>
          <w:tcPr>
            <w:tcW w:w="82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RMBS</w:t>
            </w:r>
          </w:p>
        </w:tc>
        <w:tc>
          <w:tcPr>
            <w:tcW w:w="82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CMBS</w:t>
            </w:r>
          </w:p>
        </w:tc>
        <w:tc>
          <w:tcPr>
            <w:tcW w:w="8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fixed income securities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536</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b w:val="1"/>
                <w:bCs w:val="1"/>
                <w:color w:val="auto"/>
              </w:rPr>
              <w:t>3,875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1,686</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b w:val="1"/>
                <w:bCs w:val="1"/>
                <w:color w:val="auto"/>
              </w:rPr>
              <w:t>11,796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Investment grade fixed income securities</w:t>
            </w:r>
          </w:p>
        </w:tc>
        <w:tc>
          <w:tcPr>
            <w:tcW w:w="820" w:type="dxa"/>
            <w:vAlign w:val="bottom"/>
          </w:tcPr>
          <w:p>
            <w:pPr>
              <w:jc w:val="right"/>
              <w:spacing w:after="0"/>
              <w:rPr>
                <w:sz w:val="20"/>
                <w:szCs w:val="20"/>
                <w:color w:val="auto"/>
              </w:rPr>
            </w:pPr>
            <w:r>
              <w:rPr>
                <w:rFonts w:ascii="Arial" w:cs="Arial" w:eastAsia="Arial" w:hAnsi="Arial"/>
                <w:sz w:val="16"/>
                <w:szCs w:val="16"/>
                <w:color w:val="auto"/>
              </w:rPr>
              <w:t>404</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3,077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1,550</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10,853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Below investment grade fixed income securities</w:t>
            </w:r>
          </w:p>
        </w:tc>
        <w:tc>
          <w:tcPr>
            <w:tcW w:w="8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fixed income securities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536</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b w:val="1"/>
                <w:bCs w:val="1"/>
                <w:color w:val="auto"/>
              </w:rPr>
              <w:t>3,875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1,686</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b w:val="1"/>
                <w:bCs w:val="1"/>
                <w:color w:val="auto"/>
              </w:rPr>
              <w:t>11,796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0" w:type="dxa"/>
            <w:vAlign w:val="bottom"/>
          </w:tcPr>
          <w:p>
            <w:pPr>
              <w:spacing w:after="0"/>
              <w:rPr>
                <w:sz w:val="1"/>
                <w:szCs w:val="1"/>
                <w:color w:val="auto"/>
              </w:rPr>
            </w:pPr>
          </w:p>
        </w:tc>
      </w:tr>
      <w:tr>
        <w:trPr>
          <w:trHeight w:val="33"/>
        </w:trPr>
        <w:tc>
          <w:tcPr>
            <w:tcW w:w="41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top w:val="single" w:sz="8" w:color="ACACAC"/>
              <w:bottom w:val="single" w:sz="8" w:color="939393"/>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top w:val="single" w:sz="8" w:color="ACACAC"/>
              <w:bottom w:val="single" w:sz="8" w:color="ACACAC"/>
            </w:tcBorders>
          </w:tcPr>
          <w:p>
            <w:pPr>
              <w:spacing w:after="0"/>
              <w:rPr>
                <w:sz w:val="22"/>
                <w:szCs w:val="22"/>
                <w:color w:val="auto"/>
              </w:rPr>
            </w:pPr>
          </w:p>
        </w:tc>
        <w:tc>
          <w:tcPr>
            <w:tcW w:w="12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CACAC"/>
              <w:bottom w:val="single" w:sz="8" w:color="ACACAC"/>
            </w:tcBorders>
          </w:tcPr>
          <w:p>
            <w:pPr>
              <w:spacing w:after="0"/>
              <w:rPr>
                <w:sz w:val="22"/>
                <w:szCs w:val="22"/>
                <w:color w:val="auto"/>
              </w:rPr>
            </w:pPr>
          </w:p>
        </w:tc>
        <w:tc>
          <w:tcPr>
            <w:tcW w:w="64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CACAC"/>
              <w:bottom w:val="single" w:sz="8" w:color="ACACAC"/>
            </w:tcBorders>
          </w:tcPr>
          <w:p>
            <w:pPr>
              <w:spacing w:after="0"/>
              <w:rPr>
                <w:sz w:val="22"/>
                <w:szCs w:val="22"/>
                <w:color w:val="auto"/>
              </w:rPr>
            </w:pPr>
          </w:p>
        </w:tc>
        <w:tc>
          <w:tcPr>
            <w:tcW w:w="88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Borders>
              <w:top w:val="single" w:sz="8" w:color="ACACAC"/>
              <w:bottom w:val="single" w:sz="8" w:color="ACACAC"/>
            </w:tcBorders>
          </w:tcPr>
          <w:p>
            <w:pPr>
              <w:spacing w:after="0"/>
              <w:rPr>
                <w:sz w:val="22"/>
                <w:szCs w:val="22"/>
                <w:color w:val="auto"/>
              </w:rPr>
            </w:pPr>
          </w:p>
        </w:tc>
        <w:tc>
          <w:tcPr>
            <w:tcW w:w="8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CACAC"/>
              <w:bottom w:val="single" w:sz="8" w:color="ACACAC"/>
            </w:tcBorders>
          </w:tcPr>
          <w:p>
            <w:pPr>
              <w:spacing w:after="0"/>
              <w:rPr>
                <w:sz w:val="22"/>
                <w:szCs w:val="22"/>
                <w:color w:val="auto"/>
              </w:rPr>
            </w:pPr>
          </w:p>
        </w:tc>
        <w:tc>
          <w:tcPr>
            <w:tcW w:w="70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CACAC"/>
              <w:bottom w:val="single" w:sz="8" w:color="ACACAC"/>
            </w:tcBorders>
          </w:tcPr>
          <w:p>
            <w:pPr>
              <w:spacing w:after="0"/>
              <w:rPr>
                <w:sz w:val="22"/>
                <w:szCs w:val="22"/>
                <w:color w:val="auto"/>
              </w:rPr>
            </w:pPr>
          </w:p>
        </w:tc>
        <w:tc>
          <w:tcPr>
            <w:tcW w:w="84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CACAC"/>
              <w:bottom w:val="single" w:sz="8" w:color="ACACAC"/>
            </w:tcBorders>
          </w:tcPr>
          <w:p>
            <w:pPr>
              <w:spacing w:after="0"/>
              <w:rPr>
                <w:sz w:val="22"/>
                <w:szCs w:val="22"/>
                <w:color w:val="auto"/>
              </w:rPr>
            </w:pPr>
          </w:p>
        </w:tc>
        <w:tc>
          <w:tcPr>
            <w:tcW w:w="860" w:type="dxa"/>
            <w:vAlign w:val="bottom"/>
            <w:tcBorders>
              <w:top w:val="single" w:sz="8" w:color="ACACAC"/>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December 31, 2018</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Fixed income securities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U.S. government and agencies</w:t>
            </w: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38</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Municipal</w:t>
            </w:r>
          </w:p>
        </w:tc>
        <w:tc>
          <w:tcPr>
            <w:tcW w:w="820" w:type="dxa"/>
            <w:vAlign w:val="bottom"/>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1,633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Corporate</w:t>
            </w:r>
          </w:p>
        </w:tc>
        <w:tc>
          <w:tcPr>
            <w:tcW w:w="820" w:type="dxa"/>
            <w:vAlign w:val="bottom"/>
          </w:tcPr>
          <w:p>
            <w:pPr>
              <w:jc w:val="right"/>
              <w:spacing w:after="0"/>
              <w:rPr>
                <w:sz w:val="20"/>
                <w:szCs w:val="20"/>
                <w:color w:val="auto"/>
              </w:rPr>
            </w:pPr>
            <w:r>
              <w:rPr>
                <w:rFonts w:ascii="Arial" w:cs="Arial" w:eastAsia="Arial" w:hAnsi="Arial"/>
                <w:sz w:val="16"/>
                <w:szCs w:val="16"/>
                <w:color w:val="auto"/>
              </w:rPr>
              <w:t>1,735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19,243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8,374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Foreign government</w:t>
            </w: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ABS</w:t>
            </w:r>
          </w:p>
        </w:tc>
        <w:tc>
          <w:tcPr>
            <w:tcW w:w="82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RMBS</w:t>
            </w:r>
          </w:p>
        </w:tc>
        <w:tc>
          <w:tcPr>
            <w:tcW w:w="82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CMBS</w:t>
            </w: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180"/>
              <w:spacing w:after="0"/>
              <w:rPr>
                <w:sz w:val="20"/>
                <w:szCs w:val="20"/>
                <w:color w:val="auto"/>
              </w:rPr>
            </w:pPr>
            <w:r>
              <w:rPr>
                <w:rFonts w:ascii="Arial" w:cs="Arial" w:eastAsia="Arial" w:hAnsi="Arial"/>
                <w:sz w:val="16"/>
                <w:szCs w:val="16"/>
                <w:color w:val="auto"/>
              </w:rPr>
              <w:t>Redeemable preferred stock</w:t>
            </w: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fixed income securities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2,930</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b w:val="1"/>
                <w:bCs w:val="1"/>
                <w:color w:val="auto"/>
              </w:rPr>
              <w:t>21,442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(559)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2,082</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b w:val="1"/>
                <w:bCs w:val="1"/>
                <w:color w:val="auto"/>
              </w:rPr>
              <w:t>10,917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(957)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Investment grade fixed income securities</w:t>
            </w:r>
          </w:p>
        </w:tc>
        <w:tc>
          <w:tcPr>
            <w:tcW w:w="820" w:type="dxa"/>
            <w:vAlign w:val="bottom"/>
          </w:tcPr>
          <w:p>
            <w:pPr>
              <w:jc w:val="right"/>
              <w:spacing w:after="0"/>
              <w:rPr>
                <w:sz w:val="20"/>
                <w:szCs w:val="20"/>
                <w:color w:val="auto"/>
              </w:rPr>
            </w:pPr>
            <w:r>
              <w:rPr>
                <w:rFonts w:ascii="Arial" w:cs="Arial" w:eastAsia="Arial" w:hAnsi="Arial"/>
                <w:sz w:val="16"/>
                <w:szCs w:val="16"/>
                <w:color w:val="auto"/>
              </w:rPr>
              <w:t>2,348</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17,485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2,021</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10,626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33"/>
        </w:trPr>
        <w:tc>
          <w:tcPr>
            <w:tcW w:w="40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40"/>
              <w:spacing w:after="0"/>
              <w:rPr>
                <w:sz w:val="20"/>
                <w:szCs w:val="20"/>
                <w:color w:val="auto"/>
              </w:rPr>
            </w:pPr>
            <w:r>
              <w:rPr>
                <w:rFonts w:ascii="Arial" w:cs="Arial" w:eastAsia="Arial" w:hAnsi="Arial"/>
                <w:sz w:val="16"/>
                <w:szCs w:val="16"/>
                <w:color w:val="auto"/>
              </w:rPr>
              <w:t>Below investment grade fixed income securities</w:t>
            </w:r>
          </w:p>
        </w:tc>
        <w:tc>
          <w:tcPr>
            <w:tcW w:w="820" w:type="dxa"/>
            <w:vAlign w:val="bottom"/>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3,957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33"/>
        </w:trPr>
        <w:tc>
          <w:tcPr>
            <w:tcW w:w="40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2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fixed income securities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2,930</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b w:val="1"/>
                <w:bCs w:val="1"/>
                <w:color w:val="auto"/>
              </w:rPr>
              <w:t>21,442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(559)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2,082</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b w:val="1"/>
                <w:bCs w:val="1"/>
                <w:color w:val="auto"/>
              </w:rPr>
              <w:t>10,917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(398)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(957)</w:t>
            </w:r>
          </w:p>
        </w:tc>
        <w:tc>
          <w:tcPr>
            <w:tcW w:w="0" w:type="dxa"/>
            <w:vAlign w:val="bottom"/>
          </w:tcPr>
          <w:p>
            <w:pPr>
              <w:spacing w:after="0"/>
              <w:rPr>
                <w:sz w:val="1"/>
                <w:szCs w:val="1"/>
                <w:color w:val="auto"/>
              </w:rPr>
            </w:pPr>
          </w:p>
        </w:tc>
      </w:tr>
      <w:tr>
        <w:trPr>
          <w:trHeight w:val="33"/>
        </w:trPr>
        <w:tc>
          <w:tcPr>
            <w:tcW w:w="40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type w:val="continuous"/>
        </w:sectPr>
      </w:pPr>
    </w:p>
    <w:p>
      <w:pPr>
        <w:spacing w:after="0" w:line="126"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As of March 31, 2019, $231 million of the $264 million unrealized losses are related to securities with an unrealized loss position less than 20% of amortized cost, the degree of which suggests that these securities do not pose a high risk of being other-than-temporarily impaired. Of the $231 million, $179 million are related to unrealized losses on investment grade fixed income securities. Of the remaining $52 million, $21 million have been in an unrealized loss position for</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less than 12 months. Investment grade is defined as a security having a rating of Aaa, Aa, A or Baa from Moody’s, a rating of AAA, AA, A or BBB from S&amp;P Global Ratings (“S&amp;P”), a comparable rating from another nationally recognized rating agency, or a comparable internal rating if an externally provided rating is not available. Market prices for certain securities may have credit spreads which imply higher or lower credit quality than the current third party rating. Unrealized</w:t>
      </w:r>
    </w:p>
    <w:p>
      <w:pPr>
        <w:spacing w:after="0" w:line="200"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20 </w:t>
      </w:r>
      <w:r>
        <w:rPr>
          <w:sz w:val="1"/>
          <w:szCs w:val="1"/>
          <w:color w:val="auto"/>
        </w:rPr>
        <w:drawing>
          <wp:inline distT="0" distB="0" distL="0" distR="0">
            <wp:extent cx="111760" cy="1117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24" w:name="page25"/>
    <w:bookmarkEnd w:id="24"/>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losses on investment grade securities are principally related to an increase in market yields which may include increased risk-free interest rates and/or wider credit spreads since the time of initial purchase. The unrealized losses are expected to reverse as the securities approach maturity.</w:t>
      </w:r>
    </w:p>
    <w:p>
      <w:pPr>
        <w:spacing w:after="0" w:line="95"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As of March 31, 2019, the remaining $33 million of unrealized losses are related to securities in unrealized loss positions greater than or equal to 20% of amortized cost. Investment grade fixed income securities comprising $13 million of these unrealized losses were evaluated based on factors such as discounted cash flows and the financial condition and near-term and long-term prospects of the issue or issuer and were determined to have adequate resources to fulfill contractual obligations. Of the $33 million, $20 million are related to below investment grade fixed income securities. Of these amounts, $2 million are related to below investment grade fixed income securities that had been in an unrealized loss position greater than or equal to 20% of amortized cost for a period of twelve or more consecutive months as of March 31, 2019.</w:t>
      </w:r>
    </w:p>
    <w:p>
      <w:pPr>
        <w:spacing w:after="0" w:line="105" w:lineRule="exact"/>
        <w:rPr>
          <w:sz w:val="20"/>
          <w:szCs w:val="20"/>
          <w:color w:val="auto"/>
        </w:rPr>
      </w:pPr>
    </w:p>
    <w:p>
      <w:pPr>
        <w:ind w:right="40" w:firstLine="324"/>
        <w:spacing w:after="0" w:line="247" w:lineRule="auto"/>
        <w:rPr>
          <w:sz w:val="20"/>
          <w:szCs w:val="20"/>
          <w:color w:val="auto"/>
        </w:rPr>
      </w:pPr>
      <w:r>
        <w:rPr>
          <w:rFonts w:ascii="Arial" w:cs="Arial" w:eastAsia="Arial" w:hAnsi="Arial"/>
          <w:sz w:val="16"/>
          <w:szCs w:val="16"/>
          <w:color w:val="auto"/>
        </w:rPr>
        <w:t>ABS, RMBS and CMBS in an unrealized loss position were evaluated based on actual and projected collateral losses relative to the securities’ positions in the respective securitization trusts, security specific expectations of cash flows, and credit ratings. This evaluation also takes into consideration credit enhancement, measured in terms of (i) subordination from other classes of securities in the trust that are contractually obligated to absorb losses before the class of security the Company owns, and (ii) the expected impact of other structural features embedded in the securitization trust beneficial to the class of securities the Company owns, such as overcollateralization and excess spread. Municipal bonds in an unrealized loss position were evaluated based on the underlying credit quality of the primary obligor, obligation type and quality of the underlying assets.</w:t>
      </w:r>
    </w:p>
    <w:p>
      <w:pPr>
        <w:spacing w:after="0" w:line="294" w:lineRule="exact"/>
        <w:rPr>
          <w:sz w:val="20"/>
          <w:szCs w:val="20"/>
          <w:color w:val="auto"/>
        </w:rPr>
      </w:pPr>
    </w:p>
    <w:p>
      <w:pPr>
        <w:jc w:val="both"/>
        <w:ind w:right="140" w:firstLine="324"/>
        <w:spacing w:after="0" w:line="251" w:lineRule="auto"/>
        <w:rPr>
          <w:sz w:val="20"/>
          <w:szCs w:val="20"/>
          <w:color w:val="auto"/>
        </w:rPr>
      </w:pPr>
      <w:r>
        <w:rPr>
          <w:rFonts w:ascii="Arial" w:cs="Arial" w:eastAsia="Arial" w:hAnsi="Arial"/>
          <w:sz w:val="16"/>
          <w:szCs w:val="16"/>
          <w:color w:val="auto"/>
        </w:rPr>
        <w:t>As of March 31, 2019, the Company has not made the decision to sell and it is not more likely than not the Company will be required to sell fixed income securities with unrealized losses before recovery of the amortized cost basis.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Limited partnerships</w:t>
      </w:r>
    </w:p>
    <w:p>
      <w:pPr>
        <w:spacing w:after="0" w:line="133" w:lineRule="exact"/>
        <w:rPr>
          <w:sz w:val="20"/>
          <w:szCs w:val="20"/>
          <w:color w:val="auto"/>
        </w:rPr>
      </w:pPr>
    </w:p>
    <w:p>
      <w:pPr>
        <w:ind w:right="120" w:firstLine="324"/>
        <w:spacing w:after="0" w:line="249" w:lineRule="auto"/>
        <w:rPr>
          <w:sz w:val="20"/>
          <w:szCs w:val="20"/>
          <w:color w:val="auto"/>
        </w:rPr>
      </w:pPr>
      <w:r>
        <w:rPr>
          <w:rFonts w:ascii="Arial" w:cs="Arial" w:eastAsia="Arial" w:hAnsi="Arial"/>
          <w:sz w:val="16"/>
          <w:szCs w:val="16"/>
          <w:color w:val="auto"/>
        </w:rPr>
        <w:t>Investments in limited partnership interests include interests in private equity funds, real estate funds and other funds. As of March 31, 2019 and December 31, 2018, the carrying value of equity method of accounting limited partnerships totaled $5.76 billion and $5.73 billion, respectively, and limited partnerships carried at fair value totaled $1.74 billion and $1.78 billion,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Mortgage loans</w:t>
      </w:r>
    </w:p>
    <w:p>
      <w:pPr>
        <w:spacing w:after="0" w:line="133"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Mortgage loans are evaluated for impairment on a specific loan basis through a quarterly credit monitoring process and review of key credit quality indicators. Mortgage loans are considered impaired when it is probable that the Company will not collect the contractual principal and interest. Valuation allowances are established for impaired loans to reduce the carrying value to the fair value of the collateral less costs to sell or the present value of the loan’s expected future repayment cash flows discounted at the loan’s original effective interest rate. Impaired mortgage loans may not have a valuation allowance when the fair value of the collateral less costs to sell is higher than the carrying value. Valuation allowances are adjusted for subsequent changes in the fair value of the collateral less costs to sell or present value of the loan’s expected future repayment cash flows. Mortgage loans are charged off against their corresponding valuation allowances when there is no reasonable expectation of recovery. The impairment evaluation is non-statistical in respect to the aggregate portfolio but considers facts and circumstances attributable to each loan. It is not considered probable that additional impairment losses, beyond those identified on a specific loan basis, have been incurred as of March 31, 2019.</w:t>
      </w:r>
    </w:p>
    <w:p>
      <w:pPr>
        <w:spacing w:after="0" w:line="103" w:lineRule="exact"/>
        <w:rPr>
          <w:sz w:val="20"/>
          <w:szCs w:val="20"/>
          <w:color w:val="auto"/>
        </w:rPr>
      </w:pPr>
    </w:p>
    <w:p>
      <w:pPr>
        <w:ind w:right="180" w:firstLine="324"/>
        <w:spacing w:after="0" w:line="251" w:lineRule="auto"/>
        <w:rPr>
          <w:sz w:val="20"/>
          <w:szCs w:val="20"/>
          <w:color w:val="auto"/>
        </w:rPr>
      </w:pPr>
      <w:r>
        <w:rPr>
          <w:rFonts w:ascii="Arial" w:cs="Arial" w:eastAsia="Arial" w:hAnsi="Arial"/>
          <w:sz w:val="16"/>
          <w:szCs w:val="16"/>
          <w:color w:val="auto"/>
        </w:rPr>
        <w:t>Accrual of income is suspended for mortgage loans that are in default or when full and timely collection of principal and interest payments is not probable. Cash receipts on mortgage loans on non-accrual status are generally recorded as a reduction of carrying value.</w:t>
      </w:r>
    </w:p>
    <w:p>
      <w:pPr>
        <w:spacing w:after="0" w:line="95" w:lineRule="exact"/>
        <w:rPr>
          <w:sz w:val="20"/>
          <w:szCs w:val="20"/>
          <w:color w:val="auto"/>
        </w:rPr>
      </w:pPr>
    </w:p>
    <w:p>
      <w:pPr>
        <w:ind w:right="40" w:firstLine="324"/>
        <w:spacing w:after="0" w:line="248" w:lineRule="auto"/>
        <w:rPr>
          <w:sz w:val="20"/>
          <w:szCs w:val="20"/>
          <w:color w:val="auto"/>
        </w:rPr>
      </w:pPr>
      <w:r>
        <w:rPr>
          <w:rFonts w:ascii="Arial" w:cs="Arial" w:eastAsia="Arial" w:hAnsi="Arial"/>
          <w:sz w:val="16"/>
          <w:szCs w:val="16"/>
          <w:color w:val="auto"/>
        </w:rPr>
        <w:t>Debt service coverage ratio is considered a key credit quality indicator when mortgage loans are evaluated for impairment. Debt service coverage ratio represents the amount of estimated cash flows from the property available to the borrower to meet principal and interest payment obligations. Debt service coverage ratio estimates are updated annually or more frequently if conditions are warranted based on the Company’s credit monitoring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148590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460"/>
            <w:col w:w="5480"/>
          </w:cols>
          <w:pgMar w:left="240" w:top="141" w:right="239" w:bottom="1440" w:gutter="0" w:footer="0" w:header="0"/>
        </w:sectPr>
      </w:pPr>
    </w:p>
    <w:p>
      <w:pPr>
        <w:spacing w:after="0" w:line="5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Carrying value of non-impaired mortgage loans summarized by debt service coverage ratio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20" w:type="dxa"/>
            <w:vAlign w:val="bottom"/>
            <w:gridSpan w:val="4"/>
          </w:tcPr>
          <w:p>
            <w:pPr>
              <w:ind w:left="40"/>
              <w:spacing w:after="0"/>
              <w:rPr>
                <w:sz w:val="20"/>
                <w:szCs w:val="20"/>
                <w:color w:val="auto"/>
              </w:rPr>
            </w:pPr>
            <w:r>
              <w:rPr>
                <w:rFonts w:ascii="Arial" w:cs="Arial" w:eastAsia="Arial" w:hAnsi="Arial"/>
                <w:sz w:val="16"/>
                <w:szCs w:val="16"/>
                <w:b w:val="1"/>
                <w:bCs w:val="1"/>
                <w:color w:val="auto"/>
              </w:rPr>
              <w:t>March 31, 2019</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60" w:type="dxa"/>
            <w:vAlign w:val="bottom"/>
            <w:gridSpan w:val="5"/>
          </w:tcPr>
          <w:p>
            <w:pPr>
              <w:ind w:left="20"/>
              <w:spacing w:after="0"/>
              <w:rPr>
                <w:sz w:val="20"/>
                <w:szCs w:val="20"/>
                <w:color w:val="auto"/>
              </w:rPr>
            </w:pPr>
            <w:r>
              <w:rPr>
                <w:rFonts w:ascii="Arial" w:cs="Arial" w:eastAsia="Arial" w:hAnsi="Arial"/>
                <w:sz w:val="16"/>
                <w:szCs w:val="16"/>
                <w:b w:val="1"/>
                <w:bCs w:val="1"/>
                <w:color w:val="auto"/>
              </w:rPr>
              <w:t>December 31, 2018</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Fixed rate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Variable rate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Fixed rate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Variable rate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3"/>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mortgage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mortgage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mortgage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mortgage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0"/>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Debt service coverage ratio distribution</w:t>
            </w:r>
          </w:p>
        </w:tc>
        <w:tc>
          <w:tcPr>
            <w:tcW w:w="220" w:type="dxa"/>
            <w:vAlign w:val="bottom"/>
          </w:tcPr>
          <w:p>
            <w:pPr>
              <w:spacing w:after="0"/>
              <w:rPr>
                <w:sz w:val="18"/>
                <w:szCs w:val="18"/>
                <w:color w:val="auto"/>
              </w:rPr>
            </w:pPr>
          </w:p>
        </w:tc>
        <w:tc>
          <w:tcPr>
            <w:tcW w:w="1180" w:type="dxa"/>
            <w:vAlign w:val="bottom"/>
          </w:tcPr>
          <w:p>
            <w:pPr>
              <w:jc w:val="center"/>
              <w:ind w:right="139"/>
              <w:spacing w:after="0"/>
              <w:rPr>
                <w:sz w:val="20"/>
                <w:szCs w:val="20"/>
                <w:color w:val="auto"/>
              </w:rPr>
            </w:pPr>
            <w:r>
              <w:rPr>
                <w:rFonts w:ascii="Arial" w:cs="Arial" w:eastAsia="Arial" w:hAnsi="Arial"/>
                <w:sz w:val="16"/>
                <w:szCs w:val="16"/>
                <w:b w:val="1"/>
                <w:bCs w:val="1"/>
                <w:color w:val="auto"/>
                <w:w w:val="86"/>
              </w:rPr>
              <w:t>loans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loans</w:t>
            </w:r>
          </w:p>
        </w:tc>
        <w:tc>
          <w:tcPr>
            <w:tcW w:w="20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b w:val="1"/>
                <w:bCs w:val="1"/>
                <w:color w:val="auto"/>
                <w:w w:val="86"/>
              </w:rPr>
              <w:t>loans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loans</w:t>
            </w:r>
          </w:p>
        </w:tc>
        <w:tc>
          <w:tcPr>
            <w:tcW w:w="200" w:type="dxa"/>
            <w:vAlign w:val="bottom"/>
          </w:tcPr>
          <w:p>
            <w:pPr>
              <w:spacing w:after="0"/>
              <w:rPr>
                <w:sz w:val="18"/>
                <w:szCs w:val="18"/>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auto"/>
              </w:rPr>
              <w:t>Total</w:t>
            </w:r>
          </w:p>
        </w:tc>
      </w:tr>
      <w:tr>
        <w:trPr>
          <w:trHeight w:val="33"/>
        </w:trPr>
        <w:tc>
          <w:tcPr>
            <w:tcW w:w="34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1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Below 1.0</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37</w:t>
            </w: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r>
      <w:tr>
        <w:trPr>
          <w:trHeight w:val="217"/>
        </w:trPr>
        <w:tc>
          <w:tcPr>
            <w:tcW w:w="3440" w:type="dxa"/>
            <w:vAlign w:val="bottom"/>
          </w:tcPr>
          <w:p>
            <w:pPr>
              <w:ind w:left="40"/>
              <w:spacing w:after="0"/>
              <w:rPr>
                <w:sz w:val="20"/>
                <w:szCs w:val="20"/>
                <w:color w:val="auto"/>
              </w:rPr>
            </w:pPr>
            <w:r>
              <w:rPr>
                <w:rFonts w:ascii="Arial" w:cs="Arial" w:eastAsia="Arial" w:hAnsi="Arial"/>
                <w:sz w:val="16"/>
                <w:szCs w:val="16"/>
                <w:color w:val="auto"/>
              </w:rPr>
              <w:t>1.0 - 1.25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273</w:t>
            </w: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r>
      <w:tr>
        <w:trPr>
          <w:trHeight w:val="217"/>
        </w:trPr>
        <w:tc>
          <w:tcPr>
            <w:tcW w:w="3440" w:type="dxa"/>
            <w:vAlign w:val="bottom"/>
          </w:tcPr>
          <w:p>
            <w:pPr>
              <w:ind w:left="40"/>
              <w:spacing w:after="0"/>
              <w:rPr>
                <w:sz w:val="20"/>
                <w:szCs w:val="20"/>
                <w:color w:val="auto"/>
              </w:rPr>
            </w:pPr>
            <w:r>
              <w:rPr>
                <w:rFonts w:ascii="Arial" w:cs="Arial" w:eastAsia="Arial" w:hAnsi="Arial"/>
                <w:sz w:val="16"/>
                <w:szCs w:val="16"/>
                <w:color w:val="auto"/>
              </w:rPr>
              <w:t>1.26 - 1.50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1,157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1,192</w:t>
            </w: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Above 1.50</w:t>
            </w:r>
          </w:p>
        </w:tc>
        <w:tc>
          <w:tcPr>
            <w:tcW w:w="2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3,110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3,211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3,164</w:t>
            </w:r>
          </w:p>
        </w:tc>
      </w:tr>
      <w:tr>
        <w:trPr>
          <w:trHeight w:val="33"/>
        </w:trPr>
        <w:tc>
          <w:tcPr>
            <w:tcW w:w="34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1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r>
      <w:tr>
        <w:trPr>
          <w:trHeight w:val="217"/>
        </w:trPr>
        <w:tc>
          <w:tcPr>
            <w:tcW w:w="356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 non-impaired mortgage loans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4,545</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132</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b w:val="1"/>
                <w:bCs w:val="1"/>
                <w:color w:val="auto"/>
              </w:rPr>
              <w:t>4,677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4,534</w:t>
            </w:r>
          </w:p>
        </w:tc>
        <w:tc>
          <w:tcPr>
            <w:tcW w:w="3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132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4,666</w:t>
            </w:r>
          </w:p>
        </w:tc>
      </w:tr>
      <w:tr>
        <w:trPr>
          <w:trHeight w:val="33"/>
        </w:trPr>
        <w:tc>
          <w:tcPr>
            <w:tcW w:w="34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1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21</w:t>
      </w:r>
    </w:p>
    <w:p>
      <w:pPr>
        <w:sectPr>
          <w:pgSz w:w="11900" w:h="16838" w:orient="portrait"/>
          <w:cols w:equalWidth="0" w:num="1">
            <w:col w:w="11420"/>
          </w:cols>
          <w:pgMar w:left="240" w:top="141"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color w:val="auto"/>
        </w:rPr>
        <w:t>Mortgage loans with a debt service coverage ratio below 1.0 that are not considered impaired primarily relate to instances where the borrower has the financial capacity to fund the revenue shortfalls from the properties for the foreseeable term, the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in cash flows from the properties is considered temporary, or there are other risk mitigating circumstances such as additional collateral, escrow balances or borrower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195580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0"/>
          <w:szCs w:val="20"/>
          <w:color w:val="auto"/>
        </w:rPr>
      </w:pPr>
    </w:p>
    <w:p>
      <w:pPr>
        <w:sectPr>
          <w:pgSz w:w="11900" w:h="16838" w:orient="portrait"/>
          <w:cols w:equalWidth="0" w:num="2">
            <w:col w:w="5360" w:space="580"/>
            <w:col w:w="5480"/>
          </w:cols>
          <w:pgMar w:left="240" w:top="141" w:right="23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Net carrying value of impaired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840" w:type="dxa"/>
            <w:vAlign w:val="bottom"/>
            <w:tcBorders>
              <w:bottom w:val="single" w:sz="8" w:color="005BA5"/>
            </w:tcBorders>
          </w:tcPr>
          <w:p>
            <w:pPr>
              <w:jc w:val="right"/>
              <w:ind w:right="459"/>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1880" w:type="dxa"/>
            <w:vAlign w:val="bottom"/>
            <w:tcBorders>
              <w:bottom w:val="single" w:sz="8" w:color="005BA5"/>
            </w:tcBorders>
          </w:tcPr>
          <w:p>
            <w:pPr>
              <w:jc w:val="right"/>
              <w:ind w:right="339"/>
              <w:spacing w:after="0"/>
              <w:rPr>
                <w:sz w:val="20"/>
                <w:szCs w:val="20"/>
                <w:color w:val="auto"/>
              </w:rPr>
            </w:pPr>
            <w:r>
              <w:rPr>
                <w:rFonts w:ascii="Arial" w:cs="Arial" w:eastAsia="Arial" w:hAnsi="Arial"/>
                <w:sz w:val="16"/>
                <w:szCs w:val="16"/>
                <w:b w:val="1"/>
                <w:bCs w:val="1"/>
                <w:color w:val="auto"/>
                <w:w w:val="99"/>
              </w:rPr>
              <w:t>December 31, 2018</w:t>
            </w:r>
          </w:p>
        </w:tc>
      </w:tr>
      <w:tr>
        <w:trPr>
          <w:trHeight w:val="223"/>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Impaired mortgage loans with a valuation allowance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6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880" w:type="dxa"/>
            <w:vAlign w:val="bottom"/>
            <w:tcBorders>
              <w:bottom w:val="single" w:sz="8" w:color="ACACAC"/>
            </w:tcBorders>
          </w:tcPr>
          <w:p>
            <w:pPr>
              <w:spacing w:after="0"/>
              <w:rPr>
                <w:sz w:val="2"/>
                <w:szCs w:val="2"/>
                <w:color w:val="auto"/>
              </w:rPr>
            </w:pPr>
          </w:p>
        </w:tc>
      </w:tr>
      <w:tr>
        <w:trPr>
          <w:trHeight w:val="21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Impaired mortgage loans without a valuation allowance</w:t>
            </w:r>
          </w:p>
        </w:tc>
        <w:tc>
          <w:tcPr>
            <w:tcW w:w="32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8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880" w:type="dxa"/>
            <w:vAlign w:val="bottom"/>
            <w:tcBorders>
              <w:bottom w:val="single" w:sz="8" w:color="005BA5"/>
            </w:tcBorders>
          </w:tcPr>
          <w:p>
            <w:pPr>
              <w:spacing w:after="0"/>
              <w:rPr>
                <w:sz w:val="2"/>
                <w:szCs w:val="2"/>
                <w:color w:val="auto"/>
              </w:rPr>
            </w:pPr>
          </w:p>
        </w:tc>
      </w:tr>
      <w:tr>
        <w:trPr>
          <w:trHeight w:val="217"/>
        </w:trPr>
        <w:tc>
          <w:tcPr>
            <w:tcW w:w="70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impaired mortgage loans</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84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r>
      <w:tr>
        <w:trPr>
          <w:trHeight w:val="33"/>
        </w:trPr>
        <w:tc>
          <w:tcPr>
            <w:tcW w:w="686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880" w:type="dxa"/>
            <w:vAlign w:val="bottom"/>
            <w:tcBorders>
              <w:bottom w:val="single" w:sz="8" w:color="ACACAC"/>
            </w:tcBorders>
          </w:tcPr>
          <w:p>
            <w:pPr>
              <w:spacing w:after="0"/>
              <w:rPr>
                <w:sz w:val="2"/>
                <w:szCs w:val="2"/>
                <w:color w:val="auto"/>
              </w:rPr>
            </w:pPr>
          </w:p>
        </w:tc>
      </w:tr>
      <w:tr>
        <w:trPr>
          <w:trHeight w:val="21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Valuation allowance on impaired mortgage loans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686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88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type w:val="continuous"/>
        </w:sectPr>
      </w:pPr>
    </w:p>
    <w:p>
      <w:pPr>
        <w:spacing w:after="0" w:line="126" w:lineRule="exact"/>
        <w:rPr>
          <w:sz w:val="20"/>
          <w:szCs w:val="20"/>
          <w:color w:val="auto"/>
        </w:rPr>
      </w:pPr>
    </w:p>
    <w:p>
      <w:pPr>
        <w:ind w:right="80" w:firstLine="324"/>
        <w:spacing w:after="0" w:line="251" w:lineRule="auto"/>
        <w:rPr>
          <w:sz w:val="20"/>
          <w:szCs w:val="20"/>
          <w:color w:val="auto"/>
        </w:rPr>
      </w:pPr>
      <w:r>
        <w:rPr>
          <w:rFonts w:ascii="Arial" w:cs="Arial" w:eastAsia="Arial" w:hAnsi="Arial"/>
          <w:sz w:val="16"/>
          <w:szCs w:val="16"/>
          <w:color w:val="auto"/>
        </w:rPr>
        <w:t>The valuation allowance on impaired loans had no activity for the three months ended March 31, 2019 and 2018. The average balance of impaired loans was $4 million for both the three months ended March 31, 2019 and 2018.</w:t>
      </w:r>
    </w:p>
    <w:p>
      <w:pPr>
        <w:spacing w:after="0" w:line="243"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Payments on all mortgage loans were current as of March 31, 2019 and December 31, 2018.</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Short-term investments</w:t>
      </w:r>
    </w:p>
    <w:p>
      <w:pPr>
        <w:spacing w:after="0" w:line="133" w:lineRule="exact"/>
        <w:rPr>
          <w:sz w:val="20"/>
          <w:szCs w:val="20"/>
          <w:color w:val="auto"/>
        </w:rPr>
      </w:pPr>
    </w:p>
    <w:p>
      <w:pPr>
        <w:ind w:right="180" w:firstLine="324"/>
        <w:spacing w:after="0" w:line="251" w:lineRule="auto"/>
        <w:rPr>
          <w:sz w:val="20"/>
          <w:szCs w:val="20"/>
          <w:color w:val="auto"/>
        </w:rPr>
      </w:pPr>
      <w:r>
        <w:rPr>
          <w:rFonts w:ascii="Arial" w:cs="Arial" w:eastAsia="Arial" w:hAnsi="Arial"/>
          <w:sz w:val="16"/>
          <w:szCs w:val="16"/>
          <w:color w:val="auto"/>
        </w:rPr>
        <w:t>Short-term investments, including commercial paper, money market funds, U.S. Treasury bills and other short-term investments, are carried at fair value. As of March 31, 2019 and December 31, 2018, the fair value of short-term investments totaled $4.16 billion and $3.03 billion, respectively.</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Other investments</w:t>
      </w:r>
    </w:p>
    <w:p>
      <w:pPr>
        <w:spacing w:after="0" w:line="133" w:lineRule="exact"/>
        <w:rPr>
          <w:sz w:val="20"/>
          <w:szCs w:val="20"/>
          <w:color w:val="auto"/>
        </w:rPr>
      </w:pPr>
    </w:p>
    <w:p>
      <w:pPr>
        <w:ind w:right="40" w:firstLine="324"/>
        <w:spacing w:after="0" w:line="248" w:lineRule="auto"/>
        <w:rPr>
          <w:sz w:val="20"/>
          <w:szCs w:val="20"/>
          <w:color w:val="auto"/>
        </w:rPr>
      </w:pPr>
      <w:r>
        <w:rPr>
          <w:rFonts w:ascii="Arial" w:cs="Arial" w:eastAsia="Arial" w:hAnsi="Arial"/>
          <w:sz w:val="16"/>
          <w:szCs w:val="16"/>
          <w:color w:val="auto"/>
        </w:rPr>
        <w:t>Other investments primarily consist of bank loans, policy loans, real estate, agent loans and derivatives. Bank loans are primarily senior secured corporate loans and are carried at amortized cost. Policy loans are carried at unpaid principal balances. Real estate is carried at cost less accumulated depreciation. Agent loans are loans issued to exclusive Allstate agents and are carried at unpaid principal balances, net of valuation allowances and unamortized deferred fees or costs. Derivatives are carried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834390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6"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5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Other investments by asset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00" w:type="dxa"/>
            <w:vAlign w:val="bottom"/>
            <w:tcBorders>
              <w:bottom w:val="single" w:sz="8" w:color="005BA5"/>
            </w:tcBorders>
          </w:tcPr>
          <w:p>
            <w:pPr>
              <w:spacing w:after="0"/>
              <w:rPr>
                <w:sz w:val="20"/>
                <w:szCs w:val="20"/>
                <w:color w:val="auto"/>
              </w:rPr>
            </w:pPr>
          </w:p>
        </w:tc>
        <w:tc>
          <w:tcPr>
            <w:tcW w:w="1780" w:type="dxa"/>
            <w:vAlign w:val="bottom"/>
            <w:tcBorders>
              <w:bottom w:val="single" w:sz="8" w:color="005BA5"/>
            </w:tcBorders>
          </w:tcPr>
          <w:p>
            <w:pPr>
              <w:jc w:val="right"/>
              <w:ind w:right="41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Pr>
          <w:p>
            <w:pPr>
              <w:spacing w:after="0"/>
              <w:rPr>
                <w:sz w:val="20"/>
                <w:szCs w:val="20"/>
                <w:color w:val="auto"/>
              </w:rPr>
            </w:pPr>
          </w:p>
        </w:tc>
        <w:tc>
          <w:tcPr>
            <w:tcW w:w="240" w:type="dxa"/>
            <w:vAlign w:val="bottom"/>
            <w:tcBorders>
              <w:bottom w:val="single" w:sz="8" w:color="005BA5"/>
            </w:tcBorders>
          </w:tcPr>
          <w:p>
            <w:pPr>
              <w:spacing w:after="0"/>
              <w:rPr>
                <w:sz w:val="20"/>
                <w:szCs w:val="20"/>
                <w:color w:val="auto"/>
              </w:rPr>
            </w:pPr>
          </w:p>
        </w:tc>
        <w:tc>
          <w:tcPr>
            <w:tcW w:w="1800" w:type="dxa"/>
            <w:vAlign w:val="bottom"/>
            <w:tcBorders>
              <w:bottom w:val="single" w:sz="8" w:color="005BA5"/>
            </w:tcBorders>
          </w:tcPr>
          <w:p>
            <w:pPr>
              <w:jc w:val="right"/>
              <w:ind w:right="279"/>
              <w:spacing w:after="0"/>
              <w:rPr>
                <w:sz w:val="20"/>
                <w:szCs w:val="20"/>
                <w:color w:val="auto"/>
              </w:rPr>
            </w:pPr>
            <w:r>
              <w:rPr>
                <w:rFonts w:ascii="Arial" w:cs="Arial" w:eastAsia="Arial" w:hAnsi="Arial"/>
                <w:sz w:val="16"/>
                <w:szCs w:val="16"/>
                <w:b w:val="1"/>
                <w:bCs w:val="1"/>
                <w:color w:val="auto"/>
                <w:w w:val="98"/>
              </w:rPr>
              <w:t>December 31, 2018</w:t>
            </w:r>
          </w:p>
        </w:tc>
      </w:tr>
      <w:tr>
        <w:trPr>
          <w:trHeight w:val="223"/>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Bank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1,350</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885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891</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791</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Agent loans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620</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Derivatives and other</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200</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72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b w:val="1"/>
                <w:bCs w:val="1"/>
                <w:color w:val="auto"/>
              </w:rPr>
              <w:t>3,786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3,852</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6</w:t>
      </w:r>
      <w:r>
        <w:rPr>
          <w:sz w:val="20"/>
          <w:szCs w:val="20"/>
          <w:color w:val="auto"/>
        </w:rPr>
        <w:tab/>
      </w:r>
      <w:r>
        <w:rPr>
          <w:rFonts w:ascii="Arial" w:cs="Arial" w:eastAsia="Arial" w:hAnsi="Arial"/>
          <w:sz w:val="19"/>
          <w:szCs w:val="19"/>
          <w:b w:val="1"/>
          <w:bCs w:val="1"/>
          <w:color w:val="auto"/>
        </w:rPr>
        <w:t>Fair Value of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p>
      <w:pPr>
        <w:spacing w:after="0" w:line="164" w:lineRule="exact"/>
        <w:rPr>
          <w:sz w:val="20"/>
          <w:szCs w:val="20"/>
          <w:color w:val="auto"/>
        </w:rPr>
      </w:pPr>
    </w:p>
    <w:p>
      <w:pPr>
        <w:ind w:right="20" w:firstLine="324"/>
        <w:spacing w:after="0" w:line="248"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The hierarchy for inputs used in determining fair value maximizes the use of observable inputs and minimizes the use of unobservable inputs by requiring that observable inputs be used when available. Assets and liabilities recorded on the Condensed Consolidated Statements of Financial Position at fair value are categorized in the fair value hierarchy based on the observability of inputs to the valuation techniques as follows:</w:t>
      </w:r>
    </w:p>
    <w:p>
      <w:pPr>
        <w:spacing w:after="0" w:line="8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1666AF"/>
        </w:rPr>
        <w:t xml:space="preserve">Level 1: </w:t>
      </w:r>
      <w:r>
        <w:rPr>
          <w:rFonts w:ascii="Arial" w:cs="Arial" w:eastAsia="Arial" w:hAnsi="Arial"/>
          <w:sz w:val="16"/>
          <w:szCs w:val="16"/>
          <w:color w:val="000000"/>
        </w:rPr>
        <w:t>Assets and liabilities whose values are based on unadjusted quoted</w:t>
      </w:r>
      <w:r>
        <w:rPr>
          <w:rFonts w:ascii="Arial" w:cs="Arial" w:eastAsia="Arial" w:hAnsi="Arial"/>
          <w:sz w:val="16"/>
          <w:szCs w:val="16"/>
          <w:i w:val="1"/>
          <w:iCs w:val="1"/>
          <w:color w:val="1666AF"/>
        </w:rPr>
        <w:t xml:space="preserve"> </w:t>
      </w:r>
      <w:r>
        <w:rPr>
          <w:rFonts w:ascii="Arial" w:cs="Arial" w:eastAsia="Arial" w:hAnsi="Arial"/>
          <w:sz w:val="16"/>
          <w:szCs w:val="16"/>
          <w:color w:val="000000"/>
        </w:rPr>
        <w:t>prices for identical assets or liabilities in an active market that the Company can access.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i w:val="1"/>
          <w:iCs w:val="1"/>
          <w:color w:val="1666AF"/>
        </w:rPr>
        <w:t xml:space="preserve">Level 2: </w:t>
      </w:r>
      <w:r>
        <w:rPr>
          <w:rFonts w:ascii="Arial" w:cs="Arial" w:eastAsia="Arial" w:hAnsi="Arial"/>
          <w:sz w:val="16"/>
          <w:szCs w:val="16"/>
          <w:color w:val="000000"/>
        </w:rPr>
        <w:t>Assets and liabilities whose values are based on the following:</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left="320" w:hanging="237"/>
        <w:spacing w:after="0"/>
        <w:tabs>
          <w:tab w:leader="none" w:pos="320" w:val="left"/>
        </w:tabs>
        <w:numPr>
          <w:ilvl w:val="0"/>
          <w:numId w:val="9"/>
        </w:numPr>
        <w:rPr>
          <w:rFonts w:ascii="Arial" w:cs="Arial" w:eastAsia="Arial" w:hAnsi="Arial"/>
          <w:sz w:val="16"/>
          <w:szCs w:val="16"/>
          <w:color w:val="005BA5"/>
        </w:rPr>
      </w:pPr>
      <w:r>
        <w:rPr>
          <w:rFonts w:ascii="Arial" w:cs="Arial" w:eastAsia="Arial" w:hAnsi="Arial"/>
          <w:sz w:val="16"/>
          <w:szCs w:val="16"/>
          <w:color w:val="auto"/>
        </w:rPr>
        <w:t>Quoted prices for similar assets or liabilities in active markets;</w:t>
      </w:r>
    </w:p>
    <w:p>
      <w:pPr>
        <w:spacing w:after="0" w:line="113" w:lineRule="exact"/>
        <w:rPr>
          <w:rFonts w:ascii="Arial" w:cs="Arial" w:eastAsia="Arial" w:hAnsi="Arial"/>
          <w:sz w:val="16"/>
          <w:szCs w:val="16"/>
          <w:color w:val="005BA5"/>
        </w:rPr>
      </w:pPr>
    </w:p>
    <w:p>
      <w:pPr>
        <w:ind w:left="320" w:right="100" w:hanging="237"/>
        <w:spacing w:after="0" w:line="260" w:lineRule="auto"/>
        <w:tabs>
          <w:tab w:leader="none" w:pos="320" w:val="left"/>
        </w:tabs>
        <w:numPr>
          <w:ilvl w:val="0"/>
          <w:numId w:val="9"/>
        </w:numPr>
        <w:rPr>
          <w:rFonts w:ascii="Arial" w:cs="Arial" w:eastAsia="Arial" w:hAnsi="Arial"/>
          <w:sz w:val="16"/>
          <w:szCs w:val="16"/>
          <w:color w:val="005BA5"/>
        </w:rPr>
      </w:pPr>
      <w:r>
        <w:rPr>
          <w:rFonts w:ascii="Arial" w:cs="Arial" w:eastAsia="Arial" w:hAnsi="Arial"/>
          <w:sz w:val="16"/>
          <w:szCs w:val="16"/>
          <w:color w:val="auto"/>
        </w:rPr>
        <w:t>Quoted prices for identical or similar assets or liabilities in markets that are not active; or</w:t>
      </w:r>
    </w:p>
    <w:p>
      <w:pPr>
        <w:spacing w:after="0" w:line="87" w:lineRule="exact"/>
        <w:rPr>
          <w:rFonts w:ascii="Arial" w:cs="Arial" w:eastAsia="Arial" w:hAnsi="Arial"/>
          <w:sz w:val="16"/>
          <w:szCs w:val="16"/>
          <w:color w:val="005BA5"/>
        </w:rPr>
      </w:pPr>
    </w:p>
    <w:p>
      <w:pPr>
        <w:ind w:left="320" w:right="60" w:hanging="237"/>
        <w:spacing w:after="0" w:line="260" w:lineRule="auto"/>
        <w:tabs>
          <w:tab w:leader="none" w:pos="320" w:val="left"/>
        </w:tabs>
        <w:numPr>
          <w:ilvl w:val="0"/>
          <w:numId w:val="9"/>
        </w:numPr>
        <w:rPr>
          <w:rFonts w:ascii="Arial" w:cs="Arial" w:eastAsia="Arial" w:hAnsi="Arial"/>
          <w:sz w:val="16"/>
          <w:szCs w:val="16"/>
          <w:color w:val="005BA5"/>
        </w:rPr>
      </w:pPr>
      <w:r>
        <w:rPr>
          <w:rFonts w:ascii="Arial" w:cs="Arial" w:eastAsia="Arial" w:hAnsi="Arial"/>
          <w:sz w:val="16"/>
          <w:szCs w:val="16"/>
          <w:color w:val="auto"/>
        </w:rPr>
        <w:t>Valuation models whose inputs are observable, directly or indirectly, for substantially the full term of the asset or liability.</w:t>
      </w:r>
    </w:p>
    <w:p>
      <w:pPr>
        <w:spacing w:after="0" w:line="7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i w:val="1"/>
          <w:iCs w:val="1"/>
          <w:color w:val="1666AF"/>
        </w:rPr>
        <w:t xml:space="preserve">Level 3: </w:t>
      </w:r>
      <w:r>
        <w:rPr>
          <w:rFonts w:ascii="Arial" w:cs="Arial" w:eastAsia="Arial" w:hAnsi="Arial"/>
          <w:sz w:val="16"/>
          <w:szCs w:val="16"/>
          <w:color w:val="000000"/>
        </w:rPr>
        <w:t>Assets and liabilities whose values are based on prices or valuation</w:t>
      </w:r>
      <w:r>
        <w:rPr>
          <w:rFonts w:ascii="Arial" w:cs="Arial" w:eastAsia="Arial" w:hAnsi="Arial"/>
          <w:sz w:val="16"/>
          <w:szCs w:val="16"/>
          <w:i w:val="1"/>
          <w:iCs w:val="1"/>
          <w:color w:val="1666AF"/>
        </w:rPr>
        <w:t xml:space="preserve"> </w:t>
      </w:r>
      <w:r>
        <w:rPr>
          <w:rFonts w:ascii="Arial" w:cs="Arial" w:eastAsia="Arial" w:hAnsi="Arial"/>
          <w:sz w:val="16"/>
          <w:szCs w:val="16"/>
          <w:color w:val="000000"/>
        </w:rPr>
        <w:t>techniques that require inputs that are both unobservable and significant to the overall fair value measurement. Unobservable inputs reflect the Company’s estimates of the assumptions that market participants would use in valuing the assets and liabilities.</w:t>
      </w:r>
    </w:p>
    <w:p>
      <w:pPr>
        <w:spacing w:after="0" w:line="92" w:lineRule="exact"/>
        <w:rPr>
          <w:sz w:val="20"/>
          <w:szCs w:val="20"/>
          <w:color w:val="auto"/>
        </w:rPr>
      </w:pPr>
    </w:p>
    <w:p>
      <w:pPr>
        <w:jc w:val="both"/>
        <w:ind w:right="140" w:firstLine="324"/>
        <w:spacing w:after="0" w:line="253" w:lineRule="auto"/>
        <w:rPr>
          <w:sz w:val="20"/>
          <w:szCs w:val="20"/>
          <w:color w:val="auto"/>
        </w:rPr>
      </w:pPr>
      <w:r>
        <w:rPr>
          <w:rFonts w:ascii="Arial" w:cs="Arial" w:eastAsia="Arial" w:hAnsi="Arial"/>
          <w:sz w:val="16"/>
          <w:szCs w:val="16"/>
          <w:color w:val="auto"/>
        </w:rPr>
        <w:t>The availability of observable inputs varies by instrument. In situations where fair value is based on internally developed pricing models or inputs that are unobservable in the market, the determination of fair</w:t>
      </w:r>
    </w:p>
    <w:p>
      <w:pPr>
        <w:spacing w:after="0" w:line="200"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22 </w:t>
      </w:r>
      <w:r>
        <w:rPr>
          <w:sz w:val="1"/>
          <w:szCs w:val="1"/>
          <w:color w:val="auto"/>
        </w:rPr>
        <w:drawing>
          <wp:inline distT="0" distB="0" distL="0" distR="0">
            <wp:extent cx="111760" cy="1117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value requires more judgment. The degree of judgment exercised by the Company in determining fair value is typically greatest for instruments categorized in Level 3. In many instances, valuation inputs used to measure fair value fall into different levels of the fair value hierarchy. The category level in the fair value hierarchy is determined based on the lowest level input that is significant to the fair value measurement in its entirety. The Company uses prices and inputs that are current as of the measurement date, including during periods of market disruption. In periods of market disruption, the ability to observe prices and inputs may be reduced for many instruments.</w:t>
      </w:r>
    </w:p>
    <w:p>
      <w:pPr>
        <w:spacing w:after="0" w:line="288" w:lineRule="exact"/>
        <w:rPr>
          <w:sz w:val="20"/>
          <w:szCs w:val="20"/>
          <w:color w:val="auto"/>
        </w:rPr>
      </w:pPr>
    </w:p>
    <w:p>
      <w:pPr>
        <w:ind w:right="20" w:firstLine="324"/>
        <w:spacing w:after="0" w:line="247" w:lineRule="auto"/>
        <w:rPr>
          <w:sz w:val="20"/>
          <w:szCs w:val="20"/>
          <w:color w:val="auto"/>
        </w:rPr>
      </w:pPr>
      <w:r>
        <w:rPr>
          <w:rFonts w:ascii="Arial" w:cs="Arial" w:eastAsia="Arial" w:hAnsi="Arial"/>
          <w:sz w:val="16"/>
          <w:szCs w:val="16"/>
          <w:color w:val="auto"/>
        </w:rPr>
        <w:t>The Company is responsible for the determination of fair value and the supporting assumptions and methodologies. The Company gains assurance that assets and liabilities are appropriately valued through the execution of various processes and controls designed to ensure the overall reasonableness and consistent application of valuation methodologies, including inputs and assumptions, and compliance with accounting standards. For fair values received from third parties or internally estimated, the Company’s processes and controls are designed to ensure that the valuation methodologies are appropriate and consistently applied, the inputs and assumptions are reasonable and consistent with the objective of determining fair value, and the fair values are accurately recorded. For example, on a continuing basis, the Company assesses the reasonableness of individual fair values that have stale security prices or that exceed certain thresholds as compared to previous fair values received from valuation service providers or brokers or derived from internal models. The Company performs procedures to understand and assess the methodologies, processes and controls of valuation service providers. In addition, the Company may validate the reasonableness of fair values by comparing information obtained from valuation service providers or brokers to other third party valuation sources for selected securities. The Company performs ongoing price validation procedures such as back-testing of actual sales, which corroborate the various inputs used in internal models to market observable data. When fair value determinations are expected to be more variable, the Company validates them through reviews by members of management who have relevant expertise and who are independent of those charged with executing investment transactions.</w:t>
      </w:r>
    </w:p>
    <w:p>
      <w:pPr>
        <w:spacing w:after="0" w:line="101"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The Company has two types of situations where investments are classified as Level 3 in the fair value hierarchy. The first is where specific inputs significant to the fair value estimation models are not market observable. This primarily occurs in the Company’s use of broker quotes to value certain securities where the inputs have not been corroborated to be market observable, and the use of valuation models that use significant non-market observable inputs. The second situation where the Company classifies securities in Level 3 is where quotes continue to be received from independent third-party valuation service providers and all significant inputs are market observable;</w:t>
      </w:r>
    </w:p>
    <w:p>
      <w:pPr>
        <w:spacing w:after="0" w:line="20" w:lineRule="exact"/>
        <w:rPr>
          <w:sz w:val="20"/>
          <w:szCs w:val="20"/>
          <w:color w:val="auto"/>
        </w:rPr>
      </w:pPr>
      <w:r>
        <w:rPr>
          <w:sz w:val="20"/>
          <w:szCs w:val="20"/>
          <w:color w:val="auto"/>
        </w:rPr>
        <w:br w:type="column"/>
      </w:r>
    </w:p>
    <w:p>
      <w:pPr>
        <w:ind w:left="146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however, there has been a significant decrease in the volume and level of activity for the asset when compared to normal market activity such that the degree of market observability has declined to a point where categorization as a Level 3 measurement is considered appropriate. The indicators considered in determining whether a significant decrease in the volume and level of activity for a specific asset has occurred include the level of new issuances in the primary market, trading volume in the secondary market, the level of credit spreads over historical levels, applicable bid-ask spreads, and price consensus among market participants and other pricing sources.</w:t>
      </w:r>
    </w:p>
    <w:p>
      <w:pPr>
        <w:spacing w:after="0" w:line="99" w:lineRule="exact"/>
        <w:rPr>
          <w:sz w:val="20"/>
          <w:szCs w:val="20"/>
          <w:color w:val="auto"/>
        </w:rPr>
      </w:pPr>
    </w:p>
    <w:p>
      <w:pPr>
        <w:ind w:right="40" w:firstLine="324"/>
        <w:spacing w:after="0" w:line="249" w:lineRule="auto"/>
        <w:rPr>
          <w:sz w:val="20"/>
          <w:szCs w:val="20"/>
          <w:color w:val="auto"/>
        </w:rPr>
      </w:pPr>
      <w:r>
        <w:rPr>
          <w:rFonts w:ascii="Arial" w:cs="Arial" w:eastAsia="Arial" w:hAnsi="Arial"/>
          <w:sz w:val="16"/>
          <w:szCs w:val="16"/>
          <w:color w:val="auto"/>
        </w:rPr>
        <w:t>Certain assets are not carried at fair value on a recurring basis, including investments such as mortgage loans, bank loans, agent loans and policy loans. Accordingly, such investments are only included in the fair value hierarchy disclosure when the investment is subject to remeasurement at fair value after initial recognition and the resulting remeasurement is reflected in the condensed consolidated financial statements.</w:t>
      </w:r>
    </w:p>
    <w:p>
      <w:pPr>
        <w:spacing w:after="0" w:line="286" w:lineRule="exact"/>
        <w:rPr>
          <w:sz w:val="20"/>
          <w:szCs w:val="20"/>
          <w:color w:val="auto"/>
        </w:rPr>
      </w:pPr>
    </w:p>
    <w:p>
      <w:pPr>
        <w:ind w:right="120" w:firstLine="324"/>
        <w:spacing w:after="0" w:line="249" w:lineRule="auto"/>
        <w:rPr>
          <w:sz w:val="20"/>
          <w:szCs w:val="20"/>
          <w:color w:val="auto"/>
        </w:rPr>
      </w:pPr>
      <w:r>
        <w:rPr>
          <w:rFonts w:ascii="Arial" w:cs="Arial" w:eastAsia="Arial" w:hAnsi="Arial"/>
          <w:sz w:val="16"/>
          <w:szCs w:val="16"/>
          <w:color w:val="auto"/>
        </w:rPr>
        <w:t>In determining fair value, the Company principally uses the market approach which generally utilizes market transaction data for the same or similar instruments. To a lesser extent, the Company uses the income approach which involves determining fair values from discounted cash flow methodologies. For the majority of Level 2 and Level 3 valuations, a combination of the market and income approaches is used.</w:t>
      </w:r>
    </w:p>
    <w:p>
      <w:pPr>
        <w:spacing w:after="0" w:line="7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color w:val="1666AF"/>
        </w:rPr>
        <w:t>Summary of significant valuation techniques for assets and liabilities measured at fair value on a recurring basis</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1666AF"/>
        </w:rPr>
        <w:t>Level 1 measurements</w:t>
      </w:r>
    </w:p>
    <w:p>
      <w:pPr>
        <w:spacing w:after="0" w:line="113" w:lineRule="exact"/>
        <w:rPr>
          <w:sz w:val="20"/>
          <w:szCs w:val="20"/>
          <w:color w:val="auto"/>
        </w:rPr>
      </w:pPr>
    </w:p>
    <w:p>
      <w:pPr>
        <w:jc w:val="both"/>
        <w:ind w:left="320" w:right="120" w:hanging="237"/>
        <w:spacing w:after="0" w:line="264" w:lineRule="auto"/>
        <w:tabs>
          <w:tab w:leader="none" w:pos="320" w:val="left"/>
        </w:tabs>
        <w:numPr>
          <w:ilvl w:val="0"/>
          <w:numId w:val="10"/>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Fixed income securities:</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Comprise certain U.S. Treasury fixed income</w:t>
      </w:r>
      <w:r>
        <w:rPr>
          <w:rFonts w:ascii="Arial" w:cs="Arial" w:eastAsia="Arial" w:hAnsi="Arial"/>
          <w:sz w:val="16"/>
          <w:szCs w:val="16"/>
          <w:i w:val="1"/>
          <w:iCs w:val="1"/>
          <w:color w:val="1666AF"/>
        </w:rPr>
        <w:t xml:space="preserve"> </w:t>
      </w:r>
      <w:r>
        <w:rPr>
          <w:rFonts w:ascii="Arial" w:cs="Arial" w:eastAsia="Arial" w:hAnsi="Arial"/>
          <w:sz w:val="16"/>
          <w:szCs w:val="16"/>
          <w:color w:val="000000"/>
        </w:rPr>
        <w:t>securities. Valuation is based on unadjusted quoted prices for identical assets in active markets that the Company can access.</w:t>
      </w:r>
    </w:p>
    <w:p>
      <w:pPr>
        <w:spacing w:after="0" w:line="68" w:lineRule="exact"/>
        <w:rPr>
          <w:rFonts w:ascii="Arial" w:cs="Arial" w:eastAsia="Arial" w:hAnsi="Arial"/>
          <w:sz w:val="16"/>
          <w:szCs w:val="16"/>
          <w:i w:val="1"/>
          <w:iCs w:val="1"/>
          <w:color w:val="1666AF"/>
        </w:rPr>
      </w:pPr>
    </w:p>
    <w:p>
      <w:pPr>
        <w:ind w:left="320" w:right="120" w:hanging="237"/>
        <w:spacing w:after="0" w:line="264" w:lineRule="auto"/>
        <w:tabs>
          <w:tab w:leader="none" w:pos="320" w:val="left"/>
        </w:tabs>
        <w:numPr>
          <w:ilvl w:val="0"/>
          <w:numId w:val="10"/>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Equity securities:</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Comprise actively traded, exchange-listed equity</w:t>
      </w:r>
      <w:r>
        <w:rPr>
          <w:rFonts w:ascii="Arial" w:cs="Arial" w:eastAsia="Arial" w:hAnsi="Arial"/>
          <w:sz w:val="16"/>
          <w:szCs w:val="16"/>
          <w:i w:val="1"/>
          <w:iCs w:val="1"/>
          <w:color w:val="1666AF"/>
        </w:rPr>
        <w:t xml:space="preserve"> </w:t>
      </w:r>
      <w:r>
        <w:rPr>
          <w:rFonts w:ascii="Arial" w:cs="Arial" w:eastAsia="Arial" w:hAnsi="Arial"/>
          <w:sz w:val="16"/>
          <w:szCs w:val="16"/>
          <w:color w:val="000000"/>
        </w:rPr>
        <w:t>securities. Valuation is based on unadjusted quoted prices for identical assets in active markets that the Company can access.</w:t>
      </w:r>
    </w:p>
    <w:p>
      <w:pPr>
        <w:spacing w:after="0" w:line="68" w:lineRule="exact"/>
        <w:rPr>
          <w:rFonts w:ascii="Arial" w:cs="Arial" w:eastAsia="Arial" w:hAnsi="Arial"/>
          <w:sz w:val="16"/>
          <w:szCs w:val="16"/>
          <w:i w:val="1"/>
          <w:iCs w:val="1"/>
          <w:color w:val="1666AF"/>
        </w:rPr>
      </w:pPr>
    </w:p>
    <w:p>
      <w:pPr>
        <w:ind w:left="320" w:right="160" w:hanging="237"/>
        <w:spacing w:after="0" w:line="255" w:lineRule="auto"/>
        <w:tabs>
          <w:tab w:leader="none" w:pos="320" w:val="left"/>
        </w:tabs>
        <w:numPr>
          <w:ilvl w:val="0"/>
          <w:numId w:val="10"/>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Short-term:</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Comprise U.S. Treasury bills valued based on unadjusted</w:t>
      </w:r>
      <w:r>
        <w:rPr>
          <w:rFonts w:ascii="Arial" w:cs="Arial" w:eastAsia="Arial" w:hAnsi="Arial"/>
          <w:sz w:val="16"/>
          <w:szCs w:val="16"/>
          <w:i w:val="1"/>
          <w:iCs w:val="1"/>
          <w:color w:val="1666AF"/>
        </w:rPr>
        <w:t xml:space="preserve"> </w:t>
      </w:r>
      <w:r>
        <w:rPr>
          <w:rFonts w:ascii="Arial" w:cs="Arial" w:eastAsia="Arial" w:hAnsi="Arial"/>
          <w:sz w:val="16"/>
          <w:szCs w:val="16"/>
          <w:color w:val="000000"/>
        </w:rPr>
        <w:t>quoted prices for identical assets in active markets that the Company can access and actively traded money market funds that have daily quoted net asset values for identical assets that the Company can access.</w:t>
      </w:r>
    </w:p>
    <w:p>
      <w:pPr>
        <w:spacing w:after="0" w:line="75" w:lineRule="exact"/>
        <w:rPr>
          <w:rFonts w:ascii="Arial" w:cs="Arial" w:eastAsia="Arial" w:hAnsi="Arial"/>
          <w:sz w:val="16"/>
          <w:szCs w:val="16"/>
          <w:i w:val="1"/>
          <w:iCs w:val="1"/>
          <w:color w:val="1666AF"/>
        </w:rPr>
      </w:pPr>
    </w:p>
    <w:p>
      <w:pPr>
        <w:ind w:left="320" w:right="80" w:hanging="237"/>
        <w:spacing w:after="0" w:line="255" w:lineRule="auto"/>
        <w:tabs>
          <w:tab w:leader="none" w:pos="320" w:val="left"/>
        </w:tabs>
        <w:numPr>
          <w:ilvl w:val="0"/>
          <w:numId w:val="10"/>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Separate account assets:</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Comprise actively traded mutual funds that</w:t>
      </w:r>
      <w:r>
        <w:rPr>
          <w:rFonts w:ascii="Arial" w:cs="Arial" w:eastAsia="Arial" w:hAnsi="Arial"/>
          <w:sz w:val="16"/>
          <w:szCs w:val="16"/>
          <w:i w:val="1"/>
          <w:iCs w:val="1"/>
          <w:color w:val="1666AF"/>
        </w:rPr>
        <w:t xml:space="preserve"> </w:t>
      </w:r>
      <w:r>
        <w:rPr>
          <w:rFonts w:ascii="Arial" w:cs="Arial" w:eastAsia="Arial" w:hAnsi="Arial"/>
          <w:sz w:val="16"/>
          <w:szCs w:val="16"/>
          <w:color w:val="000000"/>
        </w:rPr>
        <w:t>have daily quoted net asset values that are readily determinable for identical assets that the Company can access. Net asset values for the actively traded mutual funds in which the separate account assets are invested are obtained daily from the fund managers.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23</w:t>
      </w:r>
    </w:p>
    <w:p>
      <w:pPr>
        <w:sectPr>
          <w:pgSz w:w="11900" w:h="16838" w:orient="portrait"/>
          <w:cols w:equalWidth="0" w:num="2">
            <w:col w:w="5480" w:space="460"/>
            <w:col w:w="5480"/>
          </w:cols>
          <w:pgMar w:left="240" w:top="141"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1666AF"/>
        </w:rPr>
        <w:t>Level 2 measurements</w:t>
      </w:r>
    </w:p>
    <w:p>
      <w:pPr>
        <w:spacing w:after="0" w:line="113" w:lineRule="exact"/>
        <w:rPr>
          <w:sz w:val="20"/>
          <w:szCs w:val="20"/>
          <w:color w:val="auto"/>
        </w:rPr>
      </w:pPr>
    </w:p>
    <w:p>
      <w:pPr>
        <w:ind w:left="340" w:hanging="251"/>
        <w:spacing w:after="0"/>
        <w:tabs>
          <w:tab w:leader="none" w:pos="340" w:val="left"/>
        </w:tabs>
        <w:numPr>
          <w:ilvl w:val="0"/>
          <w:numId w:val="11"/>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Fixed income securities:</w:t>
      </w:r>
    </w:p>
    <w:p>
      <w:pPr>
        <w:spacing w:after="0" w:line="113" w:lineRule="exact"/>
        <w:rPr>
          <w:rFonts w:ascii="Arial" w:cs="Arial" w:eastAsia="Arial" w:hAnsi="Arial"/>
          <w:sz w:val="16"/>
          <w:szCs w:val="16"/>
          <w:i w:val="1"/>
          <w:iCs w:val="1"/>
          <w:color w:val="1666AF"/>
        </w:rPr>
      </w:pPr>
    </w:p>
    <w:p>
      <w:pPr>
        <w:ind w:left="340"/>
        <w:spacing w:after="0" w:line="264" w:lineRule="auto"/>
        <w:rPr>
          <w:rFonts w:ascii="Arial" w:cs="Arial" w:eastAsia="Arial" w:hAnsi="Arial"/>
          <w:sz w:val="16"/>
          <w:szCs w:val="16"/>
          <w:i w:val="1"/>
          <w:iCs w:val="1"/>
          <w:color w:val="1666AF"/>
        </w:rPr>
      </w:pPr>
      <w:r>
        <w:rPr>
          <w:rFonts w:ascii="Arial" w:cs="Arial" w:eastAsia="Arial" w:hAnsi="Arial"/>
          <w:sz w:val="16"/>
          <w:szCs w:val="16"/>
          <w:i w:val="1"/>
          <w:iCs w:val="1"/>
          <w:color w:val="1666AF"/>
        </w:rPr>
        <w:t xml:space="preserve">U.S. government and agencies: </w:t>
      </w:r>
      <w:r>
        <w:rPr>
          <w:rFonts w:ascii="Arial" w:cs="Arial" w:eastAsia="Arial" w:hAnsi="Arial"/>
          <w:sz w:val="16"/>
          <w:szCs w:val="16"/>
          <w:color w:val="000000"/>
        </w:rPr>
        <w:t>The primary inputs to the valuation</w:t>
      </w:r>
      <w:r>
        <w:rPr>
          <w:rFonts w:ascii="Arial" w:cs="Arial" w:eastAsia="Arial" w:hAnsi="Arial"/>
          <w:sz w:val="16"/>
          <w:szCs w:val="16"/>
          <w:i w:val="1"/>
          <w:iCs w:val="1"/>
          <w:color w:val="1666AF"/>
        </w:rPr>
        <w:t xml:space="preserve"> </w:t>
      </w:r>
      <w:r>
        <w:rPr>
          <w:rFonts w:ascii="Arial" w:cs="Arial" w:eastAsia="Arial" w:hAnsi="Arial"/>
          <w:sz w:val="16"/>
          <w:szCs w:val="16"/>
          <w:color w:val="000000"/>
        </w:rPr>
        <w:t>include quoted prices for identical or similar assets in markets that are not active, contractual cash flows, benchmark yields and credit spreads.</w:t>
      </w:r>
    </w:p>
    <w:p>
      <w:pPr>
        <w:spacing w:after="0" w:line="68" w:lineRule="exact"/>
        <w:rPr>
          <w:rFonts w:ascii="Arial" w:cs="Arial" w:eastAsia="Arial" w:hAnsi="Arial"/>
          <w:sz w:val="16"/>
          <w:szCs w:val="16"/>
          <w:i w:val="1"/>
          <w:iCs w:val="1"/>
          <w:color w:val="1666AF"/>
        </w:rPr>
      </w:pPr>
    </w:p>
    <w:p>
      <w:pPr>
        <w:ind w:left="340" w:right="80"/>
        <w:spacing w:after="0" w:line="264" w:lineRule="auto"/>
        <w:rPr>
          <w:rFonts w:ascii="Arial" w:cs="Arial" w:eastAsia="Arial" w:hAnsi="Arial"/>
          <w:sz w:val="16"/>
          <w:szCs w:val="16"/>
          <w:i w:val="1"/>
          <w:iCs w:val="1"/>
          <w:color w:val="1666AF"/>
        </w:rPr>
      </w:pPr>
      <w:r>
        <w:rPr>
          <w:rFonts w:ascii="Arial" w:cs="Arial" w:eastAsia="Arial" w:hAnsi="Arial"/>
          <w:sz w:val="16"/>
          <w:szCs w:val="16"/>
          <w:i w:val="1"/>
          <w:iCs w:val="1"/>
          <w:color w:val="005BA5"/>
        </w:rPr>
        <w:t xml:space="preserve">Municipal: </w:t>
      </w:r>
      <w:r>
        <w:rPr>
          <w:rFonts w:ascii="Arial" w:cs="Arial" w:eastAsia="Arial" w:hAnsi="Arial"/>
          <w:sz w:val="16"/>
          <w:szCs w:val="16"/>
          <w:color w:val="000000"/>
        </w:rPr>
        <w:t>The primary inputs to the valuation include quoted prices for</w:t>
      </w:r>
      <w:r>
        <w:rPr>
          <w:rFonts w:ascii="Arial" w:cs="Arial" w:eastAsia="Arial" w:hAnsi="Arial"/>
          <w:sz w:val="16"/>
          <w:szCs w:val="16"/>
          <w:i w:val="1"/>
          <w:iCs w:val="1"/>
          <w:color w:val="005BA5"/>
        </w:rPr>
        <w:t xml:space="preserve"> </w:t>
      </w:r>
      <w:r>
        <w:rPr>
          <w:rFonts w:ascii="Arial" w:cs="Arial" w:eastAsia="Arial" w:hAnsi="Arial"/>
          <w:sz w:val="16"/>
          <w:szCs w:val="16"/>
          <w:color w:val="000000"/>
        </w:rPr>
        <w:t>identical or similar assets in markets that are not active, contractual cash flows, benchmark yields and credit spreads.</w:t>
      </w:r>
    </w:p>
    <w:p>
      <w:pPr>
        <w:spacing w:after="0" w:line="68" w:lineRule="exact"/>
        <w:rPr>
          <w:rFonts w:ascii="Arial" w:cs="Arial" w:eastAsia="Arial" w:hAnsi="Arial"/>
          <w:sz w:val="16"/>
          <w:szCs w:val="16"/>
          <w:i w:val="1"/>
          <w:iCs w:val="1"/>
          <w:color w:val="1666AF"/>
        </w:rPr>
      </w:pPr>
    </w:p>
    <w:p>
      <w:pPr>
        <w:ind w:left="340" w:right="180"/>
        <w:spacing w:after="0" w:line="264" w:lineRule="auto"/>
        <w:rPr>
          <w:rFonts w:ascii="Arial" w:cs="Arial" w:eastAsia="Arial" w:hAnsi="Arial"/>
          <w:sz w:val="16"/>
          <w:szCs w:val="16"/>
          <w:i w:val="1"/>
          <w:iCs w:val="1"/>
          <w:color w:val="1666AF"/>
        </w:rPr>
      </w:pPr>
      <w:r>
        <w:rPr>
          <w:rFonts w:ascii="Arial" w:cs="Arial" w:eastAsia="Arial" w:hAnsi="Arial"/>
          <w:sz w:val="16"/>
          <w:szCs w:val="16"/>
          <w:i w:val="1"/>
          <w:iCs w:val="1"/>
          <w:color w:val="005BA5"/>
        </w:rPr>
        <w:t xml:space="preserve">Corporate - public: </w:t>
      </w:r>
      <w:r>
        <w:rPr>
          <w:rFonts w:ascii="Arial" w:cs="Arial" w:eastAsia="Arial" w:hAnsi="Arial"/>
          <w:sz w:val="16"/>
          <w:szCs w:val="16"/>
          <w:color w:val="000000"/>
        </w:rPr>
        <w:t>The primary inputs to the valuation include quoted</w:t>
      </w:r>
      <w:r>
        <w:rPr>
          <w:rFonts w:ascii="Arial" w:cs="Arial" w:eastAsia="Arial" w:hAnsi="Arial"/>
          <w:sz w:val="16"/>
          <w:szCs w:val="16"/>
          <w:i w:val="1"/>
          <w:iCs w:val="1"/>
          <w:color w:val="005BA5"/>
        </w:rPr>
        <w:t xml:space="preserve"> </w:t>
      </w:r>
      <w:r>
        <w:rPr>
          <w:rFonts w:ascii="Arial" w:cs="Arial" w:eastAsia="Arial" w:hAnsi="Arial"/>
          <w:sz w:val="16"/>
          <w:szCs w:val="16"/>
          <w:color w:val="000000"/>
        </w:rPr>
        <w:t>prices for identical or similar assets in markets that are not active, contractual cash flows, benchmark yields and credit spreads.</w:t>
      </w:r>
    </w:p>
    <w:p>
      <w:pPr>
        <w:spacing w:after="0" w:line="68" w:lineRule="exact"/>
        <w:rPr>
          <w:rFonts w:ascii="Arial" w:cs="Arial" w:eastAsia="Arial" w:hAnsi="Arial"/>
          <w:sz w:val="16"/>
          <w:szCs w:val="16"/>
          <w:i w:val="1"/>
          <w:iCs w:val="1"/>
          <w:color w:val="1666AF"/>
        </w:rPr>
      </w:pPr>
    </w:p>
    <w:p>
      <w:pPr>
        <w:ind w:left="340"/>
        <w:spacing w:after="0" w:line="251" w:lineRule="auto"/>
        <w:rPr>
          <w:rFonts w:ascii="Arial" w:cs="Arial" w:eastAsia="Arial" w:hAnsi="Arial"/>
          <w:sz w:val="16"/>
          <w:szCs w:val="16"/>
          <w:i w:val="1"/>
          <w:iCs w:val="1"/>
          <w:color w:val="1666AF"/>
        </w:rPr>
      </w:pPr>
      <w:r>
        <w:rPr>
          <w:rFonts w:ascii="Arial" w:cs="Arial" w:eastAsia="Arial" w:hAnsi="Arial"/>
          <w:sz w:val="16"/>
          <w:szCs w:val="16"/>
          <w:i w:val="1"/>
          <w:iCs w:val="1"/>
          <w:color w:val="005BA5"/>
        </w:rPr>
        <w:t xml:space="preserve">Corporate - privately placed: </w:t>
      </w:r>
      <w:r>
        <w:rPr>
          <w:rFonts w:ascii="Arial" w:cs="Arial" w:eastAsia="Arial" w:hAnsi="Arial"/>
          <w:sz w:val="16"/>
          <w:szCs w:val="16"/>
          <w:color w:val="000000"/>
        </w:rPr>
        <w:t>Valued using a discounted cash flow</w:t>
      </w:r>
      <w:r>
        <w:rPr>
          <w:rFonts w:ascii="Arial" w:cs="Arial" w:eastAsia="Arial" w:hAnsi="Arial"/>
          <w:sz w:val="16"/>
          <w:szCs w:val="16"/>
          <w:i w:val="1"/>
          <w:iCs w:val="1"/>
          <w:color w:val="005BA5"/>
        </w:rPr>
        <w:t xml:space="preserve"> </w:t>
      </w:r>
      <w:r>
        <w:rPr>
          <w:rFonts w:ascii="Arial" w:cs="Arial" w:eastAsia="Arial" w:hAnsi="Arial"/>
          <w:sz w:val="16"/>
          <w:szCs w:val="16"/>
          <w:color w:val="000000"/>
        </w:rPr>
        <w:t>model that is widely accepted in the financial services industry and uses market observable inputs and inputs derived principally from, or corroborated by, observable market data. The primary inputs to the discounted cash flow model include an interest rate yield curve, as well as published credit spreads for similar assets in markets that are not active that incorporate the credit quality and industry sector of the issuer.</w:t>
      </w:r>
    </w:p>
    <w:p>
      <w:pPr>
        <w:spacing w:after="0" w:line="81" w:lineRule="exact"/>
        <w:rPr>
          <w:rFonts w:ascii="Arial" w:cs="Arial" w:eastAsia="Arial" w:hAnsi="Arial"/>
          <w:sz w:val="16"/>
          <w:szCs w:val="16"/>
          <w:i w:val="1"/>
          <w:iCs w:val="1"/>
          <w:color w:val="1666AF"/>
        </w:rPr>
      </w:pPr>
    </w:p>
    <w:p>
      <w:pPr>
        <w:ind w:left="340" w:right="20"/>
        <w:spacing w:after="0" w:line="264" w:lineRule="auto"/>
        <w:rPr>
          <w:rFonts w:ascii="Arial" w:cs="Arial" w:eastAsia="Arial" w:hAnsi="Arial"/>
          <w:sz w:val="16"/>
          <w:szCs w:val="16"/>
          <w:i w:val="1"/>
          <w:iCs w:val="1"/>
          <w:color w:val="1666AF"/>
        </w:rPr>
      </w:pPr>
      <w:r>
        <w:rPr>
          <w:rFonts w:ascii="Arial" w:cs="Arial" w:eastAsia="Arial" w:hAnsi="Arial"/>
          <w:sz w:val="16"/>
          <w:szCs w:val="16"/>
          <w:i w:val="1"/>
          <w:iCs w:val="1"/>
          <w:color w:val="005BA5"/>
        </w:rPr>
        <w:t xml:space="preserve">Foreign government: </w:t>
      </w:r>
      <w:r>
        <w:rPr>
          <w:rFonts w:ascii="Arial" w:cs="Arial" w:eastAsia="Arial" w:hAnsi="Arial"/>
          <w:sz w:val="16"/>
          <w:szCs w:val="16"/>
          <w:color w:val="000000"/>
        </w:rPr>
        <w:t>The primary inputs to the valuation include quoted</w:t>
      </w:r>
      <w:r>
        <w:rPr>
          <w:rFonts w:ascii="Arial" w:cs="Arial" w:eastAsia="Arial" w:hAnsi="Arial"/>
          <w:sz w:val="16"/>
          <w:szCs w:val="16"/>
          <w:i w:val="1"/>
          <w:iCs w:val="1"/>
          <w:color w:val="005BA5"/>
        </w:rPr>
        <w:t xml:space="preserve"> </w:t>
      </w:r>
      <w:r>
        <w:rPr>
          <w:rFonts w:ascii="Arial" w:cs="Arial" w:eastAsia="Arial" w:hAnsi="Arial"/>
          <w:sz w:val="16"/>
          <w:szCs w:val="16"/>
          <w:color w:val="000000"/>
        </w:rPr>
        <w:t>prices for identical or similar assets in markets that are not active, contractual cash flows, benchmark yields and credit spreads.</w:t>
      </w:r>
    </w:p>
    <w:p>
      <w:pPr>
        <w:spacing w:after="0" w:line="68" w:lineRule="exact"/>
        <w:rPr>
          <w:rFonts w:ascii="Arial" w:cs="Arial" w:eastAsia="Arial" w:hAnsi="Arial"/>
          <w:sz w:val="16"/>
          <w:szCs w:val="16"/>
          <w:i w:val="1"/>
          <w:iCs w:val="1"/>
          <w:color w:val="1666AF"/>
        </w:rPr>
      </w:pPr>
    </w:p>
    <w:p>
      <w:pPr>
        <w:ind w:left="340" w:right="80"/>
        <w:spacing w:after="0" w:line="252" w:lineRule="auto"/>
        <w:rPr>
          <w:rFonts w:ascii="Arial" w:cs="Arial" w:eastAsia="Arial" w:hAnsi="Arial"/>
          <w:sz w:val="16"/>
          <w:szCs w:val="16"/>
          <w:i w:val="1"/>
          <w:iCs w:val="1"/>
          <w:color w:val="1666AF"/>
        </w:rPr>
      </w:pPr>
      <w:r>
        <w:rPr>
          <w:rFonts w:ascii="Arial" w:cs="Arial" w:eastAsia="Arial" w:hAnsi="Arial"/>
          <w:sz w:val="16"/>
          <w:szCs w:val="16"/>
          <w:i w:val="1"/>
          <w:iCs w:val="1"/>
          <w:color w:val="005BA5"/>
        </w:rPr>
        <w:t xml:space="preserve">ABS - collateralized debt obligations (“CDO”) and ABS - consumer and other: </w:t>
      </w:r>
      <w:r>
        <w:rPr>
          <w:rFonts w:ascii="Arial" w:cs="Arial" w:eastAsia="Arial" w:hAnsi="Arial"/>
          <w:sz w:val="16"/>
          <w:szCs w:val="16"/>
          <w:color w:val="000000"/>
        </w:rPr>
        <w:t>The primary inputs to the valuation include quoted prices for</w:t>
      </w:r>
      <w:r>
        <w:rPr>
          <w:rFonts w:ascii="Arial" w:cs="Arial" w:eastAsia="Arial" w:hAnsi="Arial"/>
          <w:sz w:val="16"/>
          <w:szCs w:val="16"/>
          <w:i w:val="1"/>
          <w:iCs w:val="1"/>
          <w:color w:val="005BA5"/>
        </w:rPr>
        <w:t xml:space="preserve"> </w:t>
      </w:r>
      <w:r>
        <w:rPr>
          <w:rFonts w:ascii="Arial" w:cs="Arial" w:eastAsia="Arial" w:hAnsi="Arial"/>
          <w:sz w:val="16"/>
          <w:szCs w:val="16"/>
          <w:color w:val="000000"/>
        </w:rPr>
        <w:t>identical or similar assets in markets that are not active, contractual cash flows, benchmark yields, prepayment speeds, collateral performance and credit spreads. Certain ABS - CDO and ABS - consumer and other are valued based on non-binding broker quotes whose inputs have been corroborated to be market observable.</w:t>
      </w:r>
    </w:p>
    <w:p>
      <w:pPr>
        <w:spacing w:after="0" w:line="79" w:lineRule="exact"/>
        <w:rPr>
          <w:rFonts w:ascii="Arial" w:cs="Arial" w:eastAsia="Arial" w:hAnsi="Arial"/>
          <w:sz w:val="16"/>
          <w:szCs w:val="16"/>
          <w:i w:val="1"/>
          <w:iCs w:val="1"/>
          <w:color w:val="1666AF"/>
        </w:rPr>
      </w:pPr>
    </w:p>
    <w:p>
      <w:pPr>
        <w:ind w:left="340" w:right="300"/>
        <w:spacing w:after="0" w:line="258" w:lineRule="auto"/>
        <w:rPr>
          <w:rFonts w:ascii="Arial" w:cs="Arial" w:eastAsia="Arial" w:hAnsi="Arial"/>
          <w:sz w:val="16"/>
          <w:szCs w:val="16"/>
          <w:i w:val="1"/>
          <w:iCs w:val="1"/>
          <w:color w:val="1666AF"/>
        </w:rPr>
      </w:pPr>
      <w:r>
        <w:rPr>
          <w:rFonts w:ascii="Arial" w:cs="Arial" w:eastAsia="Arial" w:hAnsi="Arial"/>
          <w:sz w:val="16"/>
          <w:szCs w:val="16"/>
          <w:i w:val="1"/>
          <w:iCs w:val="1"/>
          <w:color w:val="005BA5"/>
        </w:rPr>
        <w:t xml:space="preserve">RMBS: </w:t>
      </w:r>
      <w:r>
        <w:rPr>
          <w:rFonts w:ascii="Arial" w:cs="Arial" w:eastAsia="Arial" w:hAnsi="Arial"/>
          <w:sz w:val="16"/>
          <w:szCs w:val="16"/>
          <w:color w:val="000000"/>
        </w:rPr>
        <w:t>The primary inputs to the valuation include quoted prices for</w:t>
      </w:r>
      <w:r>
        <w:rPr>
          <w:rFonts w:ascii="Arial" w:cs="Arial" w:eastAsia="Arial" w:hAnsi="Arial"/>
          <w:sz w:val="16"/>
          <w:szCs w:val="16"/>
          <w:i w:val="1"/>
          <w:iCs w:val="1"/>
          <w:color w:val="005BA5"/>
        </w:rPr>
        <w:t xml:space="preserve"> </w:t>
      </w:r>
      <w:r>
        <w:rPr>
          <w:rFonts w:ascii="Arial" w:cs="Arial" w:eastAsia="Arial" w:hAnsi="Arial"/>
          <w:sz w:val="16"/>
          <w:szCs w:val="16"/>
          <w:color w:val="000000"/>
        </w:rPr>
        <w:t>identical or similar assets in markets that are not active, contractual cash flows, benchmark yields, prepayment speeds, collateral performance and credit spreads.</w:t>
      </w:r>
    </w:p>
    <w:p>
      <w:pPr>
        <w:spacing w:after="0" w:line="73" w:lineRule="exact"/>
        <w:rPr>
          <w:rFonts w:ascii="Arial" w:cs="Arial" w:eastAsia="Arial" w:hAnsi="Arial"/>
          <w:sz w:val="16"/>
          <w:szCs w:val="16"/>
          <w:i w:val="1"/>
          <w:iCs w:val="1"/>
          <w:color w:val="1666AF"/>
        </w:rPr>
      </w:pPr>
    </w:p>
    <w:p>
      <w:pPr>
        <w:ind w:left="340" w:right="300"/>
        <w:spacing w:after="0" w:line="258" w:lineRule="auto"/>
        <w:rPr>
          <w:rFonts w:ascii="Arial" w:cs="Arial" w:eastAsia="Arial" w:hAnsi="Arial"/>
          <w:sz w:val="16"/>
          <w:szCs w:val="16"/>
          <w:i w:val="1"/>
          <w:iCs w:val="1"/>
          <w:color w:val="1666AF"/>
        </w:rPr>
      </w:pPr>
      <w:r>
        <w:rPr>
          <w:rFonts w:ascii="Arial" w:cs="Arial" w:eastAsia="Arial" w:hAnsi="Arial"/>
          <w:sz w:val="16"/>
          <w:szCs w:val="16"/>
          <w:i w:val="1"/>
          <w:iCs w:val="1"/>
          <w:color w:val="005BA5"/>
        </w:rPr>
        <w:t xml:space="preserve">CMBS: </w:t>
      </w:r>
      <w:r>
        <w:rPr>
          <w:rFonts w:ascii="Arial" w:cs="Arial" w:eastAsia="Arial" w:hAnsi="Arial"/>
          <w:sz w:val="16"/>
          <w:szCs w:val="16"/>
          <w:color w:val="000000"/>
        </w:rPr>
        <w:t>The primary inputs to the valuation include quoted prices for</w:t>
      </w:r>
      <w:r>
        <w:rPr>
          <w:rFonts w:ascii="Arial" w:cs="Arial" w:eastAsia="Arial" w:hAnsi="Arial"/>
          <w:sz w:val="16"/>
          <w:szCs w:val="16"/>
          <w:i w:val="1"/>
          <w:iCs w:val="1"/>
          <w:color w:val="005BA5"/>
        </w:rPr>
        <w:t xml:space="preserve"> </w:t>
      </w:r>
      <w:r>
        <w:rPr>
          <w:rFonts w:ascii="Arial" w:cs="Arial" w:eastAsia="Arial" w:hAnsi="Arial"/>
          <w:sz w:val="16"/>
          <w:szCs w:val="16"/>
          <w:color w:val="000000"/>
        </w:rPr>
        <w:t>identical or similar assets in markets that are not active, contractual cash flows, benchmark yields, collateral performance and credit spreads.</w:t>
      </w:r>
    </w:p>
    <w:p>
      <w:pPr>
        <w:spacing w:after="0" w:line="73" w:lineRule="exact"/>
        <w:rPr>
          <w:rFonts w:ascii="Arial" w:cs="Arial" w:eastAsia="Arial" w:hAnsi="Arial"/>
          <w:sz w:val="16"/>
          <w:szCs w:val="16"/>
          <w:i w:val="1"/>
          <w:iCs w:val="1"/>
          <w:color w:val="1666AF"/>
        </w:rPr>
      </w:pPr>
    </w:p>
    <w:p>
      <w:pPr>
        <w:ind w:left="340" w:right="140"/>
        <w:spacing w:after="0" w:line="258" w:lineRule="auto"/>
        <w:rPr>
          <w:rFonts w:ascii="Arial" w:cs="Arial" w:eastAsia="Arial" w:hAnsi="Arial"/>
          <w:sz w:val="16"/>
          <w:szCs w:val="16"/>
          <w:i w:val="1"/>
          <w:iCs w:val="1"/>
          <w:color w:val="1666AF"/>
        </w:rPr>
      </w:pPr>
      <w:r>
        <w:rPr>
          <w:rFonts w:ascii="Arial" w:cs="Arial" w:eastAsia="Arial" w:hAnsi="Arial"/>
          <w:sz w:val="16"/>
          <w:szCs w:val="16"/>
          <w:i w:val="1"/>
          <w:iCs w:val="1"/>
          <w:color w:val="005BA5"/>
        </w:rPr>
        <w:t xml:space="preserve">Redeemable preferred stock: </w:t>
      </w:r>
      <w:r>
        <w:rPr>
          <w:rFonts w:ascii="Arial" w:cs="Arial" w:eastAsia="Arial" w:hAnsi="Arial"/>
          <w:sz w:val="16"/>
          <w:szCs w:val="16"/>
          <w:color w:val="000000"/>
        </w:rPr>
        <w:t>The primary inputs to the valuation</w:t>
      </w:r>
      <w:r>
        <w:rPr>
          <w:rFonts w:ascii="Arial" w:cs="Arial" w:eastAsia="Arial" w:hAnsi="Arial"/>
          <w:sz w:val="16"/>
          <w:szCs w:val="16"/>
          <w:i w:val="1"/>
          <w:iCs w:val="1"/>
          <w:color w:val="005BA5"/>
        </w:rPr>
        <w:t xml:space="preserve"> </w:t>
      </w:r>
      <w:r>
        <w:rPr>
          <w:rFonts w:ascii="Arial" w:cs="Arial" w:eastAsia="Arial" w:hAnsi="Arial"/>
          <w:sz w:val="16"/>
          <w:szCs w:val="16"/>
          <w:color w:val="000000"/>
        </w:rPr>
        <w:t>include quoted prices for identical or similar assets in markets that are not active, contractual cash flows, benchmark yields, underlying stock prices and credit spreads.</w:t>
      </w:r>
    </w:p>
    <w:p>
      <w:pPr>
        <w:spacing w:after="0" w:line="73" w:lineRule="exact"/>
        <w:rPr>
          <w:rFonts w:ascii="Arial" w:cs="Arial" w:eastAsia="Arial" w:hAnsi="Arial"/>
          <w:sz w:val="16"/>
          <w:szCs w:val="16"/>
          <w:i w:val="1"/>
          <w:iCs w:val="1"/>
          <w:color w:val="1666AF"/>
        </w:rPr>
      </w:pPr>
    </w:p>
    <w:p>
      <w:pPr>
        <w:ind w:left="340" w:right="300" w:hanging="251"/>
        <w:spacing w:after="0" w:line="281" w:lineRule="auto"/>
        <w:tabs>
          <w:tab w:leader="none" w:pos="340" w:val="left"/>
        </w:tabs>
        <w:numPr>
          <w:ilvl w:val="0"/>
          <w:numId w:val="11"/>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Equity securities:</w:t>
      </w:r>
      <w:r>
        <w:rPr>
          <w:rFonts w:ascii="Arial" w:cs="Arial" w:eastAsia="Arial" w:hAnsi="Arial"/>
          <w:sz w:val="16"/>
          <w:szCs w:val="16"/>
          <w:i w:val="1"/>
          <w:iCs w:val="1"/>
          <w:color w:val="1666AF"/>
        </w:rPr>
        <w:t xml:space="preserve"> </w:t>
      </w:r>
      <w:r>
        <w:rPr>
          <w:rFonts w:ascii="Arial" w:cs="Arial" w:eastAsia="Arial" w:hAnsi="Arial"/>
          <w:sz w:val="16"/>
          <w:szCs w:val="16"/>
          <w:color w:val="000000"/>
        </w:rPr>
        <w:t>The primary inputs to the valuation include quoted</w:t>
      </w:r>
      <w:r>
        <w:rPr>
          <w:rFonts w:ascii="Arial" w:cs="Arial" w:eastAsia="Arial" w:hAnsi="Arial"/>
          <w:sz w:val="16"/>
          <w:szCs w:val="16"/>
          <w:i w:val="1"/>
          <w:iCs w:val="1"/>
          <w:color w:val="1666AF"/>
        </w:rPr>
        <w:t xml:space="preserve"> </w:t>
      </w:r>
      <w:r>
        <w:rPr>
          <w:rFonts w:ascii="Arial" w:cs="Arial" w:eastAsia="Arial" w:hAnsi="Arial"/>
          <w:sz w:val="16"/>
          <w:szCs w:val="16"/>
          <w:color w:val="000000"/>
        </w:rPr>
        <w:t>prices or quoted net</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24 </w:t>
      </w:r>
      <w:r>
        <w:rPr>
          <w:sz w:val="1"/>
          <w:szCs w:val="1"/>
          <w:color w:val="auto"/>
        </w:rPr>
        <w:drawing>
          <wp:inline distT="0" distB="0" distL="0" distR="0">
            <wp:extent cx="111760" cy="11176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20" w:right="480"/>
        <w:spacing w:after="0" w:line="348" w:lineRule="auto"/>
        <w:rPr>
          <w:sz w:val="20"/>
          <w:szCs w:val="20"/>
          <w:color w:val="auto"/>
        </w:rPr>
      </w:pPr>
      <w:r>
        <w:rPr>
          <w:rFonts w:ascii="Arial" w:cs="Arial" w:eastAsia="Arial" w:hAnsi="Arial"/>
          <w:sz w:val="16"/>
          <w:szCs w:val="16"/>
          <w:color w:val="auto"/>
        </w:rPr>
        <w:t>asset values for identical or similar assets in markets that are not active.</w:t>
      </w:r>
    </w:p>
    <w:p>
      <w:pPr>
        <w:spacing w:after="0" w:line="45" w:lineRule="exact"/>
        <w:rPr>
          <w:sz w:val="20"/>
          <w:szCs w:val="20"/>
          <w:color w:val="auto"/>
        </w:rPr>
      </w:pPr>
    </w:p>
    <w:p>
      <w:pPr>
        <w:ind w:left="320" w:right="80" w:hanging="237"/>
        <w:spacing w:after="0" w:line="264" w:lineRule="auto"/>
        <w:tabs>
          <w:tab w:leader="none" w:pos="320" w:val="left"/>
        </w:tabs>
        <w:numPr>
          <w:ilvl w:val="0"/>
          <w:numId w:val="12"/>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Short-term:</w:t>
      </w:r>
      <w:r>
        <w:rPr>
          <w:rFonts w:ascii="Arial" w:cs="Arial" w:eastAsia="Arial" w:hAnsi="Arial"/>
          <w:sz w:val="16"/>
          <w:szCs w:val="16"/>
          <w:i w:val="1"/>
          <w:iCs w:val="1"/>
          <w:color w:val="1666AF"/>
        </w:rPr>
        <w:t xml:space="preserve"> </w:t>
      </w:r>
      <w:r>
        <w:rPr>
          <w:rFonts w:ascii="Arial" w:cs="Arial" w:eastAsia="Arial" w:hAnsi="Arial"/>
          <w:sz w:val="16"/>
          <w:szCs w:val="16"/>
          <w:color w:val="000000"/>
        </w:rPr>
        <w:t>The primary inputs to the valuation include quoted prices</w:t>
      </w:r>
      <w:r>
        <w:rPr>
          <w:rFonts w:ascii="Arial" w:cs="Arial" w:eastAsia="Arial" w:hAnsi="Arial"/>
          <w:sz w:val="16"/>
          <w:szCs w:val="16"/>
          <w:i w:val="1"/>
          <w:iCs w:val="1"/>
          <w:color w:val="1666AF"/>
        </w:rPr>
        <w:t xml:space="preserve"> </w:t>
      </w:r>
      <w:r>
        <w:rPr>
          <w:rFonts w:ascii="Arial" w:cs="Arial" w:eastAsia="Arial" w:hAnsi="Arial"/>
          <w:sz w:val="16"/>
          <w:szCs w:val="16"/>
          <w:color w:val="000000"/>
        </w:rPr>
        <w:t>for identical or similar assets in markets that are not active, contractual cash flows, benchmark yields and credit spreads.</w:t>
      </w:r>
    </w:p>
    <w:p>
      <w:pPr>
        <w:spacing w:after="0" w:line="68" w:lineRule="exact"/>
        <w:rPr>
          <w:rFonts w:ascii="Arial" w:cs="Arial" w:eastAsia="Arial" w:hAnsi="Arial"/>
          <w:sz w:val="16"/>
          <w:szCs w:val="16"/>
          <w:i w:val="1"/>
          <w:iCs w:val="1"/>
          <w:color w:val="1666AF"/>
        </w:rPr>
      </w:pPr>
    </w:p>
    <w:p>
      <w:pPr>
        <w:ind w:left="320" w:right="140" w:hanging="237"/>
        <w:spacing w:after="0" w:line="264" w:lineRule="auto"/>
        <w:tabs>
          <w:tab w:leader="none" w:pos="320" w:val="left"/>
        </w:tabs>
        <w:numPr>
          <w:ilvl w:val="0"/>
          <w:numId w:val="12"/>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Other investments:</w:t>
      </w:r>
      <w:r>
        <w:rPr>
          <w:rFonts w:ascii="Arial" w:cs="Arial" w:eastAsia="Arial" w:hAnsi="Arial"/>
          <w:sz w:val="16"/>
          <w:szCs w:val="16"/>
          <w:i w:val="1"/>
          <w:iCs w:val="1"/>
          <w:color w:val="1666AF"/>
        </w:rPr>
        <w:t xml:space="preserve"> </w:t>
      </w:r>
      <w:r>
        <w:rPr>
          <w:rFonts w:ascii="Arial" w:cs="Arial" w:eastAsia="Arial" w:hAnsi="Arial"/>
          <w:sz w:val="16"/>
          <w:szCs w:val="16"/>
          <w:color w:val="000000"/>
        </w:rPr>
        <w:t>Free-standing exchange listed derivatives that are</w:t>
      </w:r>
      <w:r>
        <w:rPr>
          <w:rFonts w:ascii="Arial" w:cs="Arial" w:eastAsia="Arial" w:hAnsi="Arial"/>
          <w:sz w:val="16"/>
          <w:szCs w:val="16"/>
          <w:i w:val="1"/>
          <w:iCs w:val="1"/>
          <w:color w:val="1666AF"/>
        </w:rPr>
        <w:t xml:space="preserve"> </w:t>
      </w:r>
      <w:r>
        <w:rPr>
          <w:rFonts w:ascii="Arial" w:cs="Arial" w:eastAsia="Arial" w:hAnsi="Arial"/>
          <w:sz w:val="16"/>
          <w:szCs w:val="16"/>
          <w:color w:val="000000"/>
        </w:rPr>
        <w:t>not actively traded are valued based on quoted prices for identical instruments in markets that are not active.</w:t>
      </w:r>
    </w:p>
    <w:p>
      <w:pPr>
        <w:spacing w:after="0" w:line="84" w:lineRule="exact"/>
        <w:rPr>
          <w:rFonts w:ascii="Arial" w:cs="Arial" w:eastAsia="Arial" w:hAnsi="Arial"/>
          <w:sz w:val="16"/>
          <w:szCs w:val="16"/>
          <w:i w:val="1"/>
          <w:iCs w:val="1"/>
          <w:color w:val="1666AF"/>
        </w:rPr>
      </w:pPr>
    </w:p>
    <w:p>
      <w:pPr>
        <w:ind w:left="320"/>
        <w:spacing w:after="0" w:line="248" w:lineRule="auto"/>
        <w:rPr>
          <w:rFonts w:ascii="Arial" w:cs="Arial" w:eastAsia="Arial" w:hAnsi="Arial"/>
          <w:sz w:val="16"/>
          <w:szCs w:val="16"/>
          <w:i w:val="1"/>
          <w:iCs w:val="1"/>
          <w:color w:val="1666AF"/>
        </w:rPr>
      </w:pPr>
      <w:r>
        <w:rPr>
          <w:rFonts w:ascii="Arial" w:cs="Arial" w:eastAsia="Arial" w:hAnsi="Arial"/>
          <w:sz w:val="16"/>
          <w:szCs w:val="16"/>
          <w:color w:val="auto"/>
        </w:rPr>
        <w:t>Over-the-counter (“OTC”) derivatives, including interest rate swaps, foreign currency swaps, total return swaps, foreign exchange forward contracts, certain options and certain credit default swaps, are valued using models that rely on inputs such as interest rate yield curves, implied volatilities, index price levels, currency rates, and credit spreads that are observable for substantially the full term of the contract. The valuation techniques underlying the models are widely accepted in the financial services industry and do not involve significant judgment.</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1666AF"/>
        </w:rPr>
        <w:t>Level 3 measurements</w:t>
      </w:r>
    </w:p>
    <w:p>
      <w:pPr>
        <w:spacing w:after="0" w:line="113" w:lineRule="exact"/>
        <w:rPr>
          <w:sz w:val="20"/>
          <w:szCs w:val="20"/>
          <w:color w:val="auto"/>
        </w:rPr>
      </w:pPr>
    </w:p>
    <w:p>
      <w:pPr>
        <w:ind w:left="320" w:hanging="237"/>
        <w:spacing w:after="0"/>
        <w:tabs>
          <w:tab w:leader="none" w:pos="320" w:val="left"/>
        </w:tabs>
        <w:numPr>
          <w:ilvl w:val="0"/>
          <w:numId w:val="13"/>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Fixed income securities:</w:t>
      </w:r>
    </w:p>
    <w:p>
      <w:pPr>
        <w:spacing w:after="0" w:line="113" w:lineRule="exact"/>
        <w:rPr>
          <w:rFonts w:ascii="Arial" w:cs="Arial" w:eastAsia="Arial" w:hAnsi="Arial"/>
          <w:sz w:val="16"/>
          <w:szCs w:val="16"/>
          <w:i w:val="1"/>
          <w:iCs w:val="1"/>
          <w:color w:val="1666AF"/>
        </w:rPr>
      </w:pPr>
    </w:p>
    <w:p>
      <w:pPr>
        <w:ind w:left="320" w:right="120"/>
        <w:spacing w:after="0" w:line="250" w:lineRule="auto"/>
        <w:rPr>
          <w:rFonts w:ascii="Arial" w:cs="Arial" w:eastAsia="Arial" w:hAnsi="Arial"/>
          <w:sz w:val="16"/>
          <w:szCs w:val="16"/>
          <w:i w:val="1"/>
          <w:iCs w:val="1"/>
          <w:color w:val="1666AF"/>
        </w:rPr>
      </w:pPr>
      <w:r>
        <w:rPr>
          <w:rFonts w:ascii="Arial" w:cs="Arial" w:eastAsia="Arial" w:hAnsi="Arial"/>
          <w:sz w:val="16"/>
          <w:szCs w:val="16"/>
          <w:i w:val="1"/>
          <w:iCs w:val="1"/>
          <w:color w:val="1666AF"/>
        </w:rPr>
        <w:t xml:space="preserve">Municipal: </w:t>
      </w:r>
      <w:r>
        <w:rPr>
          <w:rFonts w:ascii="Arial" w:cs="Arial" w:eastAsia="Arial" w:hAnsi="Arial"/>
          <w:sz w:val="16"/>
          <w:szCs w:val="16"/>
          <w:color w:val="000000"/>
        </w:rPr>
        <w:t>Comprise municipal bonds that are not rated by third party</w:t>
      </w:r>
      <w:r>
        <w:rPr>
          <w:rFonts w:ascii="Arial" w:cs="Arial" w:eastAsia="Arial" w:hAnsi="Arial"/>
          <w:sz w:val="16"/>
          <w:szCs w:val="16"/>
          <w:i w:val="1"/>
          <w:iCs w:val="1"/>
          <w:color w:val="1666AF"/>
        </w:rPr>
        <w:t xml:space="preserve"> </w:t>
      </w:r>
      <w:r>
        <w:rPr>
          <w:rFonts w:ascii="Arial" w:cs="Arial" w:eastAsia="Arial" w:hAnsi="Arial"/>
          <w:sz w:val="16"/>
          <w:szCs w:val="16"/>
          <w:color w:val="000000"/>
        </w:rPr>
        <w:t>credit rating agencies. The primary inputs to the valuation of these municipal bonds include quoted prices for identical or similar assets in markets that exhibit less liquidity relative to those markets supporting Level 2 fair value measurements, contractual cash flows, benchmark yields and credit spreads. Also included are municipal bonds valued based on non-binding broker quotes where the inputs have not been corroborated to be market observable and municipal bonds in default valued based on the present value of expected cash flows.</w:t>
      </w:r>
    </w:p>
    <w:p>
      <w:pPr>
        <w:spacing w:after="0" w:line="84" w:lineRule="exact"/>
        <w:rPr>
          <w:rFonts w:ascii="Arial" w:cs="Arial" w:eastAsia="Arial" w:hAnsi="Arial"/>
          <w:sz w:val="16"/>
          <w:szCs w:val="16"/>
          <w:i w:val="1"/>
          <w:iCs w:val="1"/>
          <w:color w:val="1666AF"/>
        </w:rPr>
      </w:pPr>
    </w:p>
    <w:p>
      <w:pPr>
        <w:ind w:left="320" w:right="100"/>
        <w:spacing w:after="0" w:line="255" w:lineRule="auto"/>
        <w:rPr>
          <w:rFonts w:ascii="Arial" w:cs="Arial" w:eastAsia="Arial" w:hAnsi="Arial"/>
          <w:sz w:val="16"/>
          <w:szCs w:val="16"/>
          <w:i w:val="1"/>
          <w:iCs w:val="1"/>
          <w:color w:val="1666AF"/>
        </w:rPr>
      </w:pPr>
      <w:r>
        <w:rPr>
          <w:rFonts w:ascii="Arial" w:cs="Arial" w:eastAsia="Arial" w:hAnsi="Arial"/>
          <w:sz w:val="16"/>
          <w:szCs w:val="16"/>
          <w:i w:val="1"/>
          <w:iCs w:val="1"/>
          <w:color w:val="1666AF"/>
        </w:rPr>
        <w:t xml:space="preserve">Corporate - public and Corporate - privately placed: </w:t>
      </w:r>
      <w:r>
        <w:rPr>
          <w:rFonts w:ascii="Arial" w:cs="Arial" w:eastAsia="Arial" w:hAnsi="Arial"/>
          <w:sz w:val="16"/>
          <w:szCs w:val="16"/>
          <w:color w:val="000000"/>
        </w:rPr>
        <w:t>Primarily valued</w:t>
      </w:r>
      <w:r>
        <w:rPr>
          <w:rFonts w:ascii="Arial" w:cs="Arial" w:eastAsia="Arial" w:hAnsi="Arial"/>
          <w:sz w:val="16"/>
          <w:szCs w:val="16"/>
          <w:i w:val="1"/>
          <w:iCs w:val="1"/>
          <w:color w:val="1666AF"/>
        </w:rPr>
        <w:t xml:space="preserve"> </w:t>
      </w:r>
      <w:r>
        <w:rPr>
          <w:rFonts w:ascii="Arial" w:cs="Arial" w:eastAsia="Arial" w:hAnsi="Arial"/>
          <w:sz w:val="16"/>
          <w:szCs w:val="16"/>
          <w:color w:val="000000"/>
        </w:rPr>
        <w:t>based on non-binding broker quotes where the inputs have not been corroborated to be market observable. Other inputs include an interest rate yield curve, as well as published credit spreads for similar assets that incorporate the credit quality and industry sector of the issuer.</w:t>
      </w:r>
    </w:p>
    <w:p>
      <w:pPr>
        <w:spacing w:after="0" w:line="75" w:lineRule="exact"/>
        <w:rPr>
          <w:rFonts w:ascii="Arial" w:cs="Arial" w:eastAsia="Arial" w:hAnsi="Arial"/>
          <w:sz w:val="16"/>
          <w:szCs w:val="16"/>
          <w:i w:val="1"/>
          <w:iCs w:val="1"/>
          <w:color w:val="1666AF"/>
        </w:rPr>
      </w:pPr>
    </w:p>
    <w:p>
      <w:pPr>
        <w:ind w:left="320"/>
        <w:spacing w:after="0" w:line="258" w:lineRule="auto"/>
        <w:rPr>
          <w:rFonts w:ascii="Arial" w:cs="Arial" w:eastAsia="Arial" w:hAnsi="Arial"/>
          <w:sz w:val="16"/>
          <w:szCs w:val="16"/>
          <w:i w:val="1"/>
          <w:iCs w:val="1"/>
          <w:color w:val="1666AF"/>
        </w:rPr>
      </w:pPr>
      <w:r>
        <w:rPr>
          <w:rFonts w:ascii="Arial" w:cs="Arial" w:eastAsia="Arial" w:hAnsi="Arial"/>
          <w:sz w:val="16"/>
          <w:szCs w:val="16"/>
          <w:i w:val="1"/>
          <w:iCs w:val="1"/>
          <w:color w:val="1666AF"/>
        </w:rPr>
        <w:t xml:space="preserve">ABS - CDO, ABS - consumer and other, and CMBS: </w:t>
      </w:r>
      <w:r>
        <w:rPr>
          <w:rFonts w:ascii="Arial" w:cs="Arial" w:eastAsia="Arial" w:hAnsi="Arial"/>
          <w:sz w:val="16"/>
          <w:szCs w:val="16"/>
          <w:color w:val="000000"/>
        </w:rPr>
        <w:t>Valued based on</w:t>
      </w:r>
      <w:r>
        <w:rPr>
          <w:rFonts w:ascii="Arial" w:cs="Arial" w:eastAsia="Arial" w:hAnsi="Arial"/>
          <w:sz w:val="16"/>
          <w:szCs w:val="16"/>
          <w:i w:val="1"/>
          <w:iCs w:val="1"/>
          <w:color w:val="1666AF"/>
        </w:rPr>
        <w:t xml:space="preserve"> </w:t>
      </w:r>
      <w:r>
        <w:rPr>
          <w:rFonts w:ascii="Arial" w:cs="Arial" w:eastAsia="Arial" w:hAnsi="Arial"/>
          <w:sz w:val="16"/>
          <w:szCs w:val="16"/>
          <w:color w:val="000000"/>
        </w:rPr>
        <w:t>non-binding broker quotes received from brokers who are familiar with the investments and where the inputs have not been corroborated to be market observable.</w:t>
      </w:r>
    </w:p>
    <w:p>
      <w:pPr>
        <w:spacing w:after="0" w:line="73" w:lineRule="exact"/>
        <w:rPr>
          <w:rFonts w:ascii="Arial" w:cs="Arial" w:eastAsia="Arial" w:hAnsi="Arial"/>
          <w:sz w:val="16"/>
          <w:szCs w:val="16"/>
          <w:i w:val="1"/>
          <w:iCs w:val="1"/>
          <w:color w:val="1666AF"/>
        </w:rPr>
      </w:pPr>
    </w:p>
    <w:p>
      <w:pPr>
        <w:ind w:left="320" w:right="200" w:hanging="237"/>
        <w:spacing w:after="0" w:line="258" w:lineRule="auto"/>
        <w:tabs>
          <w:tab w:leader="none" w:pos="320" w:val="left"/>
        </w:tabs>
        <w:numPr>
          <w:ilvl w:val="0"/>
          <w:numId w:val="13"/>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Equity securities:</w:t>
      </w:r>
      <w:r>
        <w:rPr>
          <w:rFonts w:ascii="Arial" w:cs="Arial" w:eastAsia="Arial" w:hAnsi="Arial"/>
          <w:sz w:val="16"/>
          <w:szCs w:val="16"/>
          <w:i w:val="1"/>
          <w:iCs w:val="1"/>
          <w:color w:val="1666AF"/>
        </w:rPr>
        <w:t xml:space="preserve"> </w:t>
      </w:r>
      <w:r>
        <w:rPr>
          <w:rFonts w:ascii="Arial" w:cs="Arial" w:eastAsia="Arial" w:hAnsi="Arial"/>
          <w:sz w:val="16"/>
          <w:szCs w:val="16"/>
          <w:color w:val="000000"/>
        </w:rPr>
        <w:t>The primary inputs to the valuation include quoted</w:t>
      </w:r>
      <w:r>
        <w:rPr>
          <w:rFonts w:ascii="Arial" w:cs="Arial" w:eastAsia="Arial" w:hAnsi="Arial"/>
          <w:sz w:val="16"/>
          <w:szCs w:val="16"/>
          <w:i w:val="1"/>
          <w:iCs w:val="1"/>
          <w:color w:val="1666AF"/>
        </w:rPr>
        <w:t xml:space="preserve"> </w:t>
      </w:r>
      <w:r>
        <w:rPr>
          <w:rFonts w:ascii="Arial" w:cs="Arial" w:eastAsia="Arial" w:hAnsi="Arial"/>
          <w:sz w:val="16"/>
          <w:szCs w:val="16"/>
          <w:color w:val="000000"/>
        </w:rPr>
        <w:t>prices or quoted net asset values for identical or similar assets in markets that exhibit less liquidity relative to those markets supporting Level 2 fair value measurements.</w:t>
      </w:r>
    </w:p>
    <w:p>
      <w:pPr>
        <w:spacing w:after="0" w:line="73" w:lineRule="exact"/>
        <w:rPr>
          <w:rFonts w:ascii="Arial" w:cs="Arial" w:eastAsia="Arial" w:hAnsi="Arial"/>
          <w:sz w:val="16"/>
          <w:szCs w:val="16"/>
          <w:i w:val="1"/>
          <w:iCs w:val="1"/>
          <w:color w:val="1666AF"/>
        </w:rPr>
      </w:pPr>
    </w:p>
    <w:p>
      <w:pPr>
        <w:ind w:left="320" w:right="100" w:hanging="237"/>
        <w:spacing w:after="0" w:line="281" w:lineRule="auto"/>
        <w:tabs>
          <w:tab w:leader="none" w:pos="320" w:val="left"/>
        </w:tabs>
        <w:numPr>
          <w:ilvl w:val="0"/>
          <w:numId w:val="13"/>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Short-term:</w:t>
      </w:r>
      <w:r>
        <w:rPr>
          <w:rFonts w:ascii="Arial" w:cs="Arial" w:eastAsia="Arial" w:hAnsi="Arial"/>
          <w:sz w:val="16"/>
          <w:szCs w:val="16"/>
          <w:i w:val="1"/>
          <w:iCs w:val="1"/>
          <w:color w:val="1666AF"/>
        </w:rPr>
        <w:t xml:space="preserve"> </w:t>
      </w:r>
      <w:r>
        <w:rPr>
          <w:rFonts w:ascii="Arial" w:cs="Arial" w:eastAsia="Arial" w:hAnsi="Arial"/>
          <w:sz w:val="16"/>
          <w:szCs w:val="16"/>
          <w:color w:val="000000"/>
        </w:rPr>
        <w:t>For certain short-term investments, amortized cost is used</w:t>
      </w:r>
      <w:r>
        <w:rPr>
          <w:rFonts w:ascii="Arial" w:cs="Arial" w:eastAsia="Arial" w:hAnsi="Arial"/>
          <w:sz w:val="16"/>
          <w:szCs w:val="16"/>
          <w:i w:val="1"/>
          <w:iCs w:val="1"/>
          <w:color w:val="1666AF"/>
        </w:rPr>
        <w:t xml:space="preserve"> </w:t>
      </w:r>
      <w:r>
        <w:rPr>
          <w:rFonts w:ascii="Arial" w:cs="Arial" w:eastAsia="Arial" w:hAnsi="Arial"/>
          <w:sz w:val="16"/>
          <w:szCs w:val="16"/>
          <w:color w:val="000000"/>
        </w:rPr>
        <w:t>as the best estimate of fair value.</w:t>
      </w:r>
    </w:p>
    <w:p>
      <w:pPr>
        <w:sectPr>
          <w:pgSz w:w="11900" w:h="16838" w:orient="portrait"/>
          <w:cols w:equalWidth="0" w:num="2">
            <w:col w:w="5480" w:space="460"/>
            <w:col w:w="5460"/>
          </w:cols>
          <w:pgMar w:left="240" w:top="141" w:right="25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51" w:hanging="251"/>
        <w:spacing w:after="0" w:line="253" w:lineRule="auto"/>
        <w:tabs>
          <w:tab w:leader="none" w:pos="251" w:val="left"/>
        </w:tabs>
        <w:numPr>
          <w:ilvl w:val="0"/>
          <w:numId w:val="14"/>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Other investments:</w:t>
      </w:r>
      <w:r>
        <w:rPr>
          <w:rFonts w:ascii="Arial" w:cs="Arial" w:eastAsia="Arial" w:hAnsi="Arial"/>
          <w:sz w:val="16"/>
          <w:szCs w:val="16"/>
          <w:i w:val="1"/>
          <w:iCs w:val="1"/>
          <w:color w:val="1666AF"/>
        </w:rPr>
        <w:t xml:space="preserve"> </w:t>
      </w:r>
      <w:r>
        <w:rPr>
          <w:rFonts w:ascii="Arial" w:cs="Arial" w:eastAsia="Arial" w:hAnsi="Arial"/>
          <w:sz w:val="16"/>
          <w:szCs w:val="16"/>
          <w:color w:val="000000"/>
        </w:rPr>
        <w:t>Certain OTC derivatives, such as interest rate caps,</w:t>
      </w:r>
      <w:r>
        <w:rPr>
          <w:rFonts w:ascii="Arial" w:cs="Arial" w:eastAsia="Arial" w:hAnsi="Arial"/>
          <w:sz w:val="16"/>
          <w:szCs w:val="16"/>
          <w:i w:val="1"/>
          <w:iCs w:val="1"/>
          <w:color w:val="1666AF"/>
        </w:rPr>
        <w:t xml:space="preserve"> </w:t>
      </w:r>
      <w:r>
        <w:rPr>
          <w:rFonts w:ascii="Arial" w:cs="Arial" w:eastAsia="Arial" w:hAnsi="Arial"/>
          <w:sz w:val="16"/>
          <w:szCs w:val="16"/>
          <w:color w:val="000000"/>
        </w:rPr>
        <w:t>certain credit default swaps and certain options (including swaptions), are valued using models that are widely accepted in the financial services industry. These are categorized as Level 3 as a result of the significance of non-market observable inputs such as volatility. Other primary inputs include interest rate yield curves and credit spreads.</w:t>
      </w:r>
    </w:p>
    <w:p>
      <w:pPr>
        <w:spacing w:after="0" w:line="78" w:lineRule="exact"/>
        <w:rPr>
          <w:rFonts w:ascii="Arial" w:cs="Arial" w:eastAsia="Arial" w:hAnsi="Arial"/>
          <w:sz w:val="16"/>
          <w:szCs w:val="16"/>
          <w:i w:val="1"/>
          <w:iCs w:val="1"/>
          <w:color w:val="1666AF"/>
        </w:rPr>
      </w:pPr>
    </w:p>
    <w:p>
      <w:pPr>
        <w:ind w:left="251" w:right="60" w:hanging="251"/>
        <w:spacing w:after="0" w:line="250" w:lineRule="auto"/>
        <w:tabs>
          <w:tab w:leader="none" w:pos="251" w:val="left"/>
        </w:tabs>
        <w:numPr>
          <w:ilvl w:val="0"/>
          <w:numId w:val="14"/>
        </w:numPr>
        <w:rPr>
          <w:rFonts w:ascii="Arial" w:cs="Arial" w:eastAsia="Arial" w:hAnsi="Arial"/>
          <w:sz w:val="16"/>
          <w:szCs w:val="16"/>
          <w:i w:val="1"/>
          <w:iCs w:val="1"/>
          <w:color w:val="1666AF"/>
        </w:rPr>
      </w:pPr>
      <w:r>
        <w:rPr>
          <w:rFonts w:ascii="Arial" w:cs="Arial" w:eastAsia="Arial" w:hAnsi="Arial"/>
          <w:sz w:val="16"/>
          <w:szCs w:val="16"/>
          <w:i w:val="1"/>
          <w:iCs w:val="1"/>
          <w:u w:val="single" w:color="auto"/>
          <w:color w:val="1666AF"/>
        </w:rPr>
        <w:t>Contractholder funds:</w:t>
      </w:r>
      <w:r>
        <w:rPr>
          <w:rFonts w:ascii="Arial" w:cs="Arial" w:eastAsia="Arial" w:hAnsi="Arial"/>
          <w:sz w:val="16"/>
          <w:szCs w:val="16"/>
          <w:i w:val="1"/>
          <w:iCs w:val="1"/>
          <w:color w:val="1666AF"/>
        </w:rPr>
        <w:t xml:space="preserve"> </w:t>
      </w:r>
      <w:r>
        <w:rPr>
          <w:rFonts w:ascii="Arial" w:cs="Arial" w:eastAsia="Arial" w:hAnsi="Arial"/>
          <w:sz w:val="16"/>
          <w:szCs w:val="16"/>
          <w:color w:val="000000"/>
        </w:rPr>
        <w:t>Derivatives embedded in certain life and annuity</w:t>
      </w:r>
      <w:r>
        <w:rPr>
          <w:rFonts w:ascii="Arial" w:cs="Arial" w:eastAsia="Arial" w:hAnsi="Arial"/>
          <w:sz w:val="16"/>
          <w:szCs w:val="16"/>
          <w:i w:val="1"/>
          <w:iCs w:val="1"/>
          <w:color w:val="1666AF"/>
        </w:rPr>
        <w:t xml:space="preserve"> </w:t>
      </w:r>
      <w:r>
        <w:rPr>
          <w:rFonts w:ascii="Arial" w:cs="Arial" w:eastAsia="Arial" w:hAnsi="Arial"/>
          <w:sz w:val="16"/>
          <w:szCs w:val="16"/>
          <w:color w:val="000000"/>
        </w:rPr>
        <w:t>contracts are valued internally using models widely accepted in the financial services industry that determine a single best estimate of fair value for the embedded derivatives within a block of contractholder liabilities. The models primarily use stochastically determined cash flows based on the contractual elements of embedded derivatives, projected option cost and applicable market data, such as interest rate yield curves and equity index volatility assumptions. These are categorized as Level 3 as a result of the significance of non-market observable inputs.</w:t>
      </w:r>
    </w:p>
    <w:p>
      <w:pPr>
        <w:spacing w:after="0" w:line="20" w:lineRule="exact"/>
        <w:rPr>
          <w:sz w:val="20"/>
          <w:szCs w:val="20"/>
          <w:color w:val="auto"/>
        </w:rPr>
      </w:pPr>
      <w:r>
        <w:rPr>
          <w:sz w:val="20"/>
          <w:szCs w:val="20"/>
          <w:color w:val="auto"/>
        </w:rPr>
        <w:br w:type="column"/>
      </w:r>
    </w:p>
    <w:p>
      <w:pPr>
        <w:ind w:left="146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Assets and liabilities measured at fair value on a non-recurring basis</w:t>
      </w:r>
    </w:p>
    <w:p>
      <w:pPr>
        <w:spacing w:after="0" w:line="133" w:lineRule="exact"/>
        <w:rPr>
          <w:sz w:val="20"/>
          <w:szCs w:val="20"/>
          <w:color w:val="auto"/>
        </w:rPr>
      </w:pPr>
    </w:p>
    <w:p>
      <w:pPr>
        <w:ind w:right="80" w:firstLine="324"/>
        <w:spacing w:after="0" w:line="250" w:lineRule="auto"/>
        <w:rPr>
          <w:sz w:val="20"/>
          <w:szCs w:val="20"/>
          <w:color w:val="auto"/>
        </w:rPr>
      </w:pPr>
      <w:r>
        <w:rPr>
          <w:rFonts w:ascii="Arial" w:cs="Arial" w:eastAsia="Arial" w:hAnsi="Arial"/>
          <w:sz w:val="16"/>
          <w:szCs w:val="16"/>
          <w:color w:val="auto"/>
        </w:rPr>
        <w:t>Mortgage loans written-down to fair value in connection with recognizing impairments are valued based on the fair value of the underlying collateral less costs to sell. Bank loans written-down to fair value are valued based on broker quotes from brokers familiar with the loans and current market conditions or based on internal valuation models.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Investments excluded from the fair value hierarchy</w:t>
      </w:r>
    </w:p>
    <w:p>
      <w:pPr>
        <w:spacing w:after="0" w:line="133" w:lineRule="exact"/>
        <w:rPr>
          <w:sz w:val="20"/>
          <w:szCs w:val="20"/>
          <w:color w:val="auto"/>
        </w:rPr>
      </w:pPr>
    </w:p>
    <w:p>
      <w:pPr>
        <w:ind w:right="20" w:firstLine="324"/>
        <w:spacing w:after="0" w:line="248" w:lineRule="auto"/>
        <w:rPr>
          <w:sz w:val="20"/>
          <w:szCs w:val="20"/>
          <w:color w:val="auto"/>
        </w:rPr>
      </w:pPr>
      <w:r>
        <w:rPr>
          <w:rFonts w:ascii="Arial" w:cs="Arial" w:eastAsia="Arial" w:hAnsi="Arial"/>
          <w:sz w:val="16"/>
          <w:szCs w:val="16"/>
          <w:color w:val="auto"/>
        </w:rPr>
        <w:t>Limited partnerships carried at fair value, which do not have readily determinable fair values, use NAV provided by the investees and are excluded from the fair value hierarchy. These investments are generally not redeemable by the investees and generally cannot be sold without approval of the general partner. The Company receives distributions of income and proceeds from the liquidation of the underlying assets of the investees, which usually takes place in years 4-9 of the typical contractual life of 10-12 years. As of March 31, 2019, the Company has commitments to invest $635 million in these limited partnership interests.</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25</w:t>
      </w:r>
    </w:p>
    <w:p>
      <w:pPr>
        <w:sectPr>
          <w:pgSz w:w="11900" w:h="16838" w:orient="portrait"/>
          <w:cols w:equalWidth="0" w:num="2">
            <w:col w:w="5351" w:space="500"/>
            <w:col w:w="5480"/>
          </w:cols>
          <w:pgMar w:left="329" w:top="141"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 and liabilities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3"/>
              </w:rPr>
              <w:t>As of March 31, 2019</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3"/>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w w:val="98"/>
              </w:rPr>
              <w:t>Quoted prices in active</w:t>
            </w:r>
          </w:p>
        </w:tc>
        <w:tc>
          <w:tcPr>
            <w:tcW w:w="100" w:type="dxa"/>
            <w:vAlign w:val="bottom"/>
          </w:tcPr>
          <w:p>
            <w:pPr>
              <w:spacing w:after="0"/>
              <w:rPr>
                <w:sz w:val="12"/>
                <w:szCs w:val="12"/>
                <w:color w:val="auto"/>
              </w:rPr>
            </w:pPr>
          </w:p>
        </w:tc>
        <w:tc>
          <w:tcPr>
            <w:tcW w:w="12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Significant other</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Counterparty</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2"/>
                <w:szCs w:val="12"/>
                <w:color w:val="auto"/>
              </w:rPr>
            </w:pPr>
          </w:p>
        </w:tc>
        <w:tc>
          <w:tcPr>
            <w:tcW w:w="12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0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and cash collateral</w:t>
            </w:r>
          </w:p>
        </w:tc>
        <w:tc>
          <w:tcPr>
            <w:tcW w:w="320" w:type="dxa"/>
            <w:vAlign w:val="bottom"/>
          </w:tcPr>
          <w:p>
            <w:pPr>
              <w:spacing w:after="0"/>
              <w:rPr>
                <w:sz w:val="12"/>
                <w:szCs w:val="12"/>
                <w:color w:val="auto"/>
              </w:rPr>
            </w:pPr>
          </w:p>
        </w:tc>
        <w:tc>
          <w:tcPr>
            <w:tcW w:w="106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005BA5"/>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005BA5"/>
            </w:tcBorders>
          </w:tcPr>
          <w:p>
            <w:pPr>
              <w:spacing w:after="0"/>
              <w:rPr>
                <w:sz w:val="16"/>
                <w:szCs w:val="16"/>
                <w:color w:val="auto"/>
              </w:rPr>
            </w:pPr>
          </w:p>
        </w:tc>
        <w:tc>
          <w:tcPr>
            <w:tcW w:w="1300" w:type="dxa"/>
            <w:vAlign w:val="bottom"/>
            <w:tcBorders>
              <w:bottom w:val="single" w:sz="8" w:color="005BA5"/>
            </w:tcBorders>
          </w:tcPr>
          <w:p>
            <w:pPr>
              <w:jc w:val="center"/>
              <w:ind w:right="128"/>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6"/>
                <w:szCs w:val="16"/>
                <w:color w:val="auto"/>
              </w:rPr>
            </w:pPr>
          </w:p>
        </w:tc>
        <w:tc>
          <w:tcPr>
            <w:tcW w:w="100" w:type="dxa"/>
            <w:vAlign w:val="bottom"/>
            <w:tcBorders>
              <w:bottom w:val="single" w:sz="8" w:color="005BA5"/>
            </w:tcBorders>
          </w:tcPr>
          <w:p>
            <w:pPr>
              <w:spacing w:after="0"/>
              <w:rPr>
                <w:sz w:val="16"/>
                <w:szCs w:val="16"/>
                <w:color w:val="auto"/>
              </w:rPr>
            </w:pPr>
          </w:p>
        </w:tc>
        <w:tc>
          <w:tcPr>
            <w:tcW w:w="1200" w:type="dxa"/>
            <w:vAlign w:val="bottom"/>
            <w:tcBorders>
              <w:bottom w:val="single" w:sz="8" w:color="005BA5"/>
            </w:tcBorders>
          </w:tcPr>
          <w:p>
            <w:pPr>
              <w:jc w:val="center"/>
              <w:ind w:right="28"/>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220" w:type="dxa"/>
            <w:vAlign w:val="bottom"/>
            <w:tcBorders>
              <w:bottom w:val="single" w:sz="8" w:color="005BA5"/>
            </w:tcBorders>
          </w:tcPr>
          <w:p>
            <w:pPr>
              <w:spacing w:after="0"/>
              <w:rPr>
                <w:sz w:val="16"/>
                <w:szCs w:val="16"/>
                <w:color w:val="auto"/>
              </w:rPr>
            </w:pPr>
          </w:p>
        </w:tc>
        <w:tc>
          <w:tcPr>
            <w:tcW w:w="1160" w:type="dxa"/>
            <w:vAlign w:val="bottom"/>
            <w:tcBorders>
              <w:bottom w:val="single" w:sz="8" w:color="005BA5"/>
            </w:tcBorders>
          </w:tcPr>
          <w:p>
            <w:pPr>
              <w:jc w:val="center"/>
              <w:ind w:right="148"/>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6"/>
                <w:szCs w:val="16"/>
                <w:color w:val="auto"/>
              </w:rPr>
            </w:pPr>
          </w:p>
        </w:tc>
        <w:tc>
          <w:tcPr>
            <w:tcW w:w="160" w:type="dxa"/>
            <w:vAlign w:val="bottom"/>
            <w:tcBorders>
              <w:bottom w:val="single" w:sz="8" w:color="005BA5"/>
            </w:tcBorders>
          </w:tcPr>
          <w:p>
            <w:pPr>
              <w:spacing w:after="0"/>
              <w:rPr>
                <w:sz w:val="16"/>
                <w:szCs w:val="16"/>
                <w:color w:val="auto"/>
              </w:rPr>
            </w:pPr>
          </w:p>
        </w:tc>
        <w:tc>
          <w:tcPr>
            <w:tcW w:w="1180" w:type="dxa"/>
            <w:vAlign w:val="bottom"/>
            <w:tcBorders>
              <w:bottom w:val="single" w:sz="8" w:color="005BA5"/>
            </w:tcBorders>
          </w:tcPr>
          <w:p>
            <w:pPr>
              <w:jc w:val="center"/>
              <w:ind w:right="88"/>
              <w:spacing w:after="0"/>
              <w:rPr>
                <w:sz w:val="20"/>
                <w:szCs w:val="20"/>
                <w:color w:val="auto"/>
              </w:rPr>
            </w:pPr>
            <w:r>
              <w:rPr>
                <w:rFonts w:ascii="Arial" w:cs="Arial" w:eastAsia="Arial" w:hAnsi="Arial"/>
                <w:sz w:val="14"/>
                <w:szCs w:val="14"/>
                <w:b w:val="1"/>
                <w:bCs w:val="1"/>
                <w:color w:val="auto"/>
                <w:w w:val="89"/>
              </w:rPr>
              <w:t>netting</w:t>
            </w:r>
          </w:p>
        </w:tc>
        <w:tc>
          <w:tcPr>
            <w:tcW w:w="100" w:type="dxa"/>
            <w:vAlign w:val="bottom"/>
          </w:tcPr>
          <w:p>
            <w:pPr>
              <w:spacing w:after="0"/>
              <w:rPr>
                <w:sz w:val="16"/>
                <w:szCs w:val="16"/>
                <w:color w:val="auto"/>
              </w:rPr>
            </w:pPr>
          </w:p>
        </w:tc>
        <w:tc>
          <w:tcPr>
            <w:tcW w:w="320" w:type="dxa"/>
            <w:vAlign w:val="bottom"/>
            <w:tcBorders>
              <w:bottom w:val="single" w:sz="8" w:color="005BA5"/>
            </w:tcBorders>
          </w:tcPr>
          <w:p>
            <w:pPr>
              <w:spacing w:after="0"/>
              <w:rPr>
                <w:sz w:val="16"/>
                <w:szCs w:val="16"/>
                <w:color w:val="auto"/>
              </w:rPr>
            </w:pPr>
          </w:p>
        </w:tc>
        <w:tc>
          <w:tcPr>
            <w:tcW w:w="1060" w:type="dxa"/>
            <w:vAlign w:val="bottom"/>
            <w:tcBorders>
              <w:bottom w:val="single" w:sz="8" w:color="005BA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40"/>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180"/>
              <w:spacing w:after="0"/>
              <w:rPr>
                <w:sz w:val="20"/>
                <w:szCs w:val="20"/>
                <w:color w:val="auto"/>
              </w:rPr>
            </w:pPr>
            <w:r>
              <w:rPr>
                <w:rFonts w:ascii="Arial" w:cs="Arial" w:eastAsia="Arial" w:hAnsi="Arial"/>
                <w:sz w:val="14"/>
                <w:szCs w:val="14"/>
                <w:color w:val="auto"/>
              </w:rPr>
              <w:t>Fixed income securities:</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U.S. government and agencies</w:t>
            </w:r>
          </w:p>
        </w:tc>
        <w:tc>
          <w:tcPr>
            <w:tcW w:w="120" w:type="dxa"/>
            <w:vAlign w:val="bottom"/>
          </w:tcPr>
          <w:p>
            <w:pPr>
              <w:spacing w:after="0"/>
              <w:rPr>
                <w:sz w:val="21"/>
                <w:szCs w:val="21"/>
                <w:color w:val="auto"/>
              </w:rPr>
            </w:pPr>
          </w:p>
        </w:tc>
        <w:tc>
          <w:tcPr>
            <w:tcW w:w="180" w:type="dxa"/>
            <w:vAlign w:val="bottom"/>
            <w:tcBorders>
              <w:bottom w:val="single" w:sz="8" w:color="ACACAC"/>
            </w:tcBorders>
          </w:tcPr>
          <w:p>
            <w:pPr>
              <w:ind w:left="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3,498</w:t>
            </w:r>
          </w:p>
        </w:tc>
        <w:tc>
          <w:tcPr>
            <w:tcW w:w="100" w:type="dxa"/>
            <w:vAlign w:val="bottom"/>
          </w:tcPr>
          <w:p>
            <w:pPr>
              <w:spacing w:after="0"/>
              <w:rPr>
                <w:sz w:val="21"/>
                <w:szCs w:val="21"/>
                <w:color w:val="auto"/>
              </w:rPr>
            </w:pPr>
          </w:p>
        </w:tc>
        <w:tc>
          <w:tcPr>
            <w:tcW w:w="1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1"/>
                <w:szCs w:val="21"/>
                <w:color w:val="auto"/>
              </w:rPr>
            </w:pPr>
          </w:p>
        </w:tc>
        <w:tc>
          <w:tcPr>
            <w:tcW w:w="22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3,892</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Municipal</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9,196</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9,264</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Corporate - public</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30,982</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31,072</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Corporate - privately placed</w:t>
            </w:r>
          </w:p>
        </w:tc>
        <w:tc>
          <w:tcPr>
            <w:tcW w:w="120" w:type="dxa"/>
            <w:vAlign w:val="bottom"/>
          </w:tcPr>
          <w:p>
            <w:pPr>
              <w:spacing w:after="0"/>
              <w:rPr>
                <w:sz w:val="22"/>
                <w:szCs w:val="22"/>
                <w:color w:val="auto"/>
              </w:rPr>
            </w:pPr>
          </w:p>
        </w:tc>
        <w:tc>
          <w:tcPr>
            <w:tcW w:w="180" w:type="dxa"/>
            <w:vAlign w:val="bottom"/>
            <w:tcBorders>
              <w:bottom w:val="single" w:sz="8" w:color="ACACAC"/>
            </w:tcBorders>
          </w:tcPr>
          <w:p>
            <w:pPr>
              <w:spacing w:after="0"/>
              <w:rPr>
                <w:sz w:val="22"/>
                <w:szCs w:val="22"/>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Borders>
              <w:bottom w:val="single" w:sz="8" w:color="ACACAC"/>
            </w:tcBorders>
          </w:tcPr>
          <w:p>
            <w:pPr>
              <w:spacing w:after="0"/>
              <w:rPr>
                <w:sz w:val="22"/>
                <w:szCs w:val="22"/>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11,537</w:t>
            </w:r>
          </w:p>
        </w:tc>
        <w:tc>
          <w:tcPr>
            <w:tcW w:w="100" w:type="dxa"/>
            <w:vAlign w:val="bottom"/>
          </w:tcPr>
          <w:p>
            <w:pPr>
              <w:spacing w:after="0"/>
              <w:rPr>
                <w:sz w:val="22"/>
                <w:szCs w:val="22"/>
                <w:color w:val="auto"/>
              </w:rPr>
            </w:pPr>
          </w:p>
        </w:tc>
        <w:tc>
          <w:tcPr>
            <w:tcW w:w="220" w:type="dxa"/>
            <w:vAlign w:val="bottom"/>
            <w:tcBorders>
              <w:bottom w:val="single" w:sz="8" w:color="ACACAC"/>
            </w:tcBorders>
          </w:tcPr>
          <w:p>
            <w:pPr>
              <w:spacing w:after="0"/>
              <w:rPr>
                <w:sz w:val="22"/>
                <w:szCs w:val="22"/>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6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CACAC"/>
            </w:tcBorders>
          </w:tcPr>
          <w:p>
            <w:pPr>
              <w:spacing w:after="0"/>
              <w:rPr>
                <w:sz w:val="22"/>
                <w:szCs w:val="22"/>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11,627</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Foreign government</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ABS - CDO</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ABS - consumer and other</w:t>
            </w:r>
          </w:p>
        </w:tc>
        <w:tc>
          <w:tcPr>
            <w:tcW w:w="120" w:type="dxa"/>
            <w:vAlign w:val="bottom"/>
          </w:tcPr>
          <w:p>
            <w:pPr>
              <w:spacing w:after="0"/>
              <w:rPr>
                <w:sz w:val="22"/>
                <w:szCs w:val="22"/>
                <w:color w:val="auto"/>
              </w:rPr>
            </w:pPr>
          </w:p>
        </w:tc>
        <w:tc>
          <w:tcPr>
            <w:tcW w:w="180" w:type="dxa"/>
            <w:vAlign w:val="bottom"/>
            <w:tcBorders>
              <w:bottom w:val="single" w:sz="8" w:color="ACACAC"/>
            </w:tcBorders>
          </w:tcPr>
          <w:p>
            <w:pPr>
              <w:spacing w:after="0"/>
              <w:rPr>
                <w:sz w:val="22"/>
                <w:szCs w:val="22"/>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00" w:type="dxa"/>
            <w:vAlign w:val="bottom"/>
            <w:tcBorders>
              <w:bottom w:val="single" w:sz="8" w:color="ACACAC"/>
            </w:tcBorders>
          </w:tcPr>
          <w:p>
            <w:pPr>
              <w:spacing w:after="0"/>
              <w:rPr>
                <w:sz w:val="22"/>
                <w:szCs w:val="22"/>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22"/>
                <w:szCs w:val="22"/>
                <w:color w:val="auto"/>
              </w:rPr>
            </w:pPr>
          </w:p>
        </w:tc>
        <w:tc>
          <w:tcPr>
            <w:tcW w:w="220" w:type="dxa"/>
            <w:vAlign w:val="bottom"/>
            <w:tcBorders>
              <w:bottom w:val="single" w:sz="8" w:color="ACACAC"/>
            </w:tcBorders>
          </w:tcPr>
          <w:p>
            <w:pPr>
              <w:spacing w:after="0"/>
              <w:rPr>
                <w:sz w:val="22"/>
                <w:szCs w:val="22"/>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2"/>
                <w:szCs w:val="22"/>
                <w:color w:val="auto"/>
              </w:rPr>
            </w:pPr>
          </w:p>
        </w:tc>
        <w:tc>
          <w:tcPr>
            <w:tcW w:w="16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CACAC"/>
            </w:tcBorders>
          </w:tcPr>
          <w:p>
            <w:pPr>
              <w:spacing w:after="0"/>
              <w:rPr>
                <w:sz w:val="22"/>
                <w:szCs w:val="22"/>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RMBS</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CMBS</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005BA5"/>
            </w:tcBorders>
          </w:tcPr>
          <w:p>
            <w:pPr>
              <w:ind w:left="280"/>
              <w:spacing w:after="0"/>
              <w:rPr>
                <w:sz w:val="20"/>
                <w:szCs w:val="20"/>
                <w:color w:val="auto"/>
              </w:rPr>
            </w:pPr>
            <w:r>
              <w:rPr>
                <w:rFonts w:ascii="Arial" w:cs="Arial" w:eastAsia="Arial" w:hAnsi="Arial"/>
                <w:sz w:val="14"/>
                <w:szCs w:val="14"/>
                <w:color w:val="auto"/>
              </w:rPr>
              <w:t>Redeemable preferred stock</w:t>
            </w:r>
          </w:p>
        </w:tc>
        <w:tc>
          <w:tcPr>
            <w:tcW w:w="120" w:type="dxa"/>
            <w:vAlign w:val="bottom"/>
          </w:tcPr>
          <w:p>
            <w:pPr>
              <w:spacing w:after="0"/>
              <w:rPr>
                <w:sz w:val="21"/>
                <w:szCs w:val="21"/>
                <w:color w:val="auto"/>
              </w:rPr>
            </w:pPr>
          </w:p>
        </w:tc>
        <w:tc>
          <w:tcPr>
            <w:tcW w:w="180" w:type="dxa"/>
            <w:vAlign w:val="bottom"/>
            <w:tcBorders>
              <w:bottom w:val="single" w:sz="8" w:color="005BA5"/>
            </w:tcBorders>
          </w:tcPr>
          <w:p>
            <w:pPr>
              <w:spacing w:after="0"/>
              <w:rPr>
                <w:sz w:val="21"/>
                <w:szCs w:val="21"/>
                <w:color w:val="auto"/>
              </w:rPr>
            </w:pPr>
          </w:p>
        </w:tc>
        <w:tc>
          <w:tcPr>
            <w:tcW w:w="130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005BA5"/>
            </w:tcBorders>
          </w:tcPr>
          <w:p>
            <w:pPr>
              <w:spacing w:after="0"/>
              <w:rPr>
                <w:sz w:val="21"/>
                <w:szCs w:val="21"/>
                <w:color w:val="auto"/>
              </w:rPr>
            </w:pPr>
          </w:p>
        </w:tc>
        <w:tc>
          <w:tcPr>
            <w:tcW w:w="1200" w:type="dxa"/>
            <w:vAlign w:val="bottom"/>
            <w:tcBorders>
              <w:bottom w:val="single" w:sz="8" w:color="005BA5"/>
            </w:tcBorders>
          </w:tcPr>
          <w:p>
            <w:pPr>
              <w:jc w:val="right"/>
              <w:ind w:right="8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116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Borders>
              <w:bottom w:val="single" w:sz="8" w:color="005BA5"/>
            </w:tcBorders>
          </w:tcPr>
          <w:p>
            <w:pPr>
              <w:spacing w:after="0"/>
              <w:rPr>
                <w:sz w:val="21"/>
                <w:szCs w:val="21"/>
                <w:color w:val="auto"/>
              </w:rPr>
            </w:pPr>
          </w:p>
        </w:tc>
        <w:tc>
          <w:tcPr>
            <w:tcW w:w="1180" w:type="dxa"/>
            <w:vAlign w:val="bottom"/>
            <w:tcBorders>
              <w:bottom w:val="single" w:sz="8" w:color="005BA5"/>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380"/>
              <w:spacing w:after="0"/>
              <w:rPr>
                <w:sz w:val="20"/>
                <w:szCs w:val="20"/>
                <w:color w:val="auto"/>
              </w:rPr>
            </w:pPr>
            <w:r>
              <w:rPr>
                <w:rFonts w:ascii="Arial" w:cs="Arial" w:eastAsia="Arial" w:hAnsi="Arial"/>
                <w:sz w:val="14"/>
                <w:szCs w:val="14"/>
                <w:b w:val="1"/>
                <w:bCs w:val="1"/>
                <w:color w:val="auto"/>
              </w:rPr>
              <w:t>Total fixed income securities</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b w:val="1"/>
                <w:bCs w:val="1"/>
                <w:color w:val="auto"/>
              </w:rPr>
              <w:t>3,498</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b w:val="1"/>
                <w:bCs w:val="1"/>
                <w:color w:val="auto"/>
              </w:rPr>
              <w:t>54,334</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b w:val="1"/>
                <w:bCs w:val="1"/>
                <w:color w:val="auto"/>
              </w:rPr>
              <w:t>370</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b w:val="1"/>
                <w:bCs w:val="1"/>
                <w:color w:val="auto"/>
              </w:rPr>
              <w:t>58,202</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18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5,149</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350</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5,802</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180"/>
              <w:spacing w:after="0"/>
              <w:rPr>
                <w:sz w:val="20"/>
                <w:szCs w:val="20"/>
                <w:color w:val="auto"/>
              </w:rPr>
            </w:pPr>
            <w:r>
              <w:rPr>
                <w:rFonts w:ascii="Arial" w:cs="Arial" w:eastAsia="Arial" w:hAnsi="Arial"/>
                <w:sz w:val="14"/>
                <w:szCs w:val="14"/>
                <w:color w:val="auto"/>
              </w:rPr>
              <w:t>Short-term investments</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1,981</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4,157</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180"/>
              <w:spacing w:after="0"/>
              <w:rPr>
                <w:sz w:val="20"/>
                <w:szCs w:val="20"/>
                <w:color w:val="auto"/>
              </w:rPr>
            </w:pPr>
            <w:r>
              <w:rPr>
                <w:rFonts w:ascii="Arial" w:cs="Arial" w:eastAsia="Arial" w:hAnsi="Arial"/>
                <w:sz w:val="14"/>
                <w:szCs w:val="14"/>
                <w:color w:val="auto"/>
              </w:rPr>
              <w:t>Other investments: Free-standing derivatives</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180"/>
              <w:spacing w:after="0"/>
              <w:rPr>
                <w:sz w:val="20"/>
                <w:szCs w:val="20"/>
                <w:color w:val="auto"/>
              </w:rPr>
            </w:pPr>
            <w:r>
              <w:rPr>
                <w:rFonts w:ascii="Arial" w:cs="Arial" w:eastAsia="Arial" w:hAnsi="Arial"/>
                <w:sz w:val="14"/>
                <w:szCs w:val="14"/>
                <w:color w:val="auto"/>
              </w:rPr>
              <w:t>Separate account assets</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3,050</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3,050</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005BA5"/>
            </w:tcBorders>
          </w:tcPr>
          <w:p>
            <w:pPr>
              <w:ind w:left="180"/>
              <w:spacing w:after="0"/>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21"/>
                <w:szCs w:val="21"/>
                <w:color w:val="auto"/>
              </w:rPr>
            </w:pPr>
          </w:p>
        </w:tc>
        <w:tc>
          <w:tcPr>
            <w:tcW w:w="180" w:type="dxa"/>
            <w:vAlign w:val="bottom"/>
            <w:tcBorders>
              <w:bottom w:val="single" w:sz="8" w:color="005BA5"/>
            </w:tcBorders>
          </w:tcPr>
          <w:p>
            <w:pPr>
              <w:spacing w:after="0"/>
              <w:rPr>
                <w:sz w:val="21"/>
                <w:szCs w:val="21"/>
                <w:color w:val="auto"/>
              </w:rPr>
            </w:pPr>
          </w:p>
        </w:tc>
        <w:tc>
          <w:tcPr>
            <w:tcW w:w="130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00" w:type="dxa"/>
            <w:vAlign w:val="bottom"/>
            <w:tcBorders>
              <w:bottom w:val="single" w:sz="8" w:color="005BA5"/>
            </w:tcBorders>
          </w:tcPr>
          <w:p>
            <w:pPr>
              <w:spacing w:after="0"/>
              <w:rPr>
                <w:sz w:val="21"/>
                <w:szCs w:val="21"/>
                <w:color w:val="auto"/>
              </w:rPr>
            </w:pPr>
          </w:p>
        </w:tc>
        <w:tc>
          <w:tcPr>
            <w:tcW w:w="1200" w:type="dxa"/>
            <w:vAlign w:val="bottom"/>
            <w:tcBorders>
              <w:bottom w:val="single" w:sz="8" w:color="005BA5"/>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116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Borders>
              <w:bottom w:val="single" w:sz="8" w:color="005BA5"/>
            </w:tcBorders>
          </w:tcPr>
          <w:p>
            <w:pPr>
              <w:spacing w:after="0"/>
              <w:rPr>
                <w:sz w:val="21"/>
                <w:szCs w:val="21"/>
                <w:color w:val="auto"/>
              </w:rPr>
            </w:pPr>
          </w:p>
        </w:tc>
        <w:tc>
          <w:tcPr>
            <w:tcW w:w="1180" w:type="dxa"/>
            <w:vAlign w:val="bottom"/>
            <w:tcBorders>
              <w:bottom w:val="single" w:sz="8" w:color="005BA5"/>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380"/>
              <w:spacing w:after="0"/>
              <w:rPr>
                <w:sz w:val="20"/>
                <w:szCs w:val="20"/>
                <w:color w:val="auto"/>
              </w:rPr>
            </w:pPr>
            <w:r>
              <w:rPr>
                <w:rFonts w:ascii="Arial" w:cs="Arial" w:eastAsia="Arial" w:hAnsi="Arial"/>
                <w:sz w:val="14"/>
                <w:szCs w:val="14"/>
                <w:b w:val="1"/>
                <w:bCs w:val="1"/>
                <w:color w:val="auto"/>
              </w:rPr>
              <w:t>Total recurring basis assets</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b w:val="1"/>
                <w:bCs w:val="1"/>
                <w:color w:val="auto"/>
              </w:rPr>
              <w:t>13,679</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b w:val="1"/>
                <w:bCs w:val="1"/>
                <w:color w:val="auto"/>
              </w:rPr>
              <w:t>56,944</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b w:val="1"/>
                <w:bCs w:val="1"/>
                <w:color w:val="auto"/>
              </w:rPr>
              <w:t>714</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b w:val="1"/>
                <w:bCs w:val="1"/>
                <w:color w:val="auto"/>
              </w:rPr>
              <w:t>71,310</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005BA5"/>
            </w:tcBorders>
          </w:tcPr>
          <w:p>
            <w:pPr>
              <w:ind w:left="180"/>
              <w:spacing w:after="0"/>
              <w:rPr>
                <w:sz w:val="20"/>
                <w:szCs w:val="20"/>
                <w:color w:val="auto"/>
              </w:rPr>
            </w:pPr>
            <w:r>
              <w:rPr>
                <w:rFonts w:ascii="Arial" w:cs="Arial" w:eastAsia="Arial" w:hAnsi="Arial"/>
                <w:sz w:val="14"/>
                <w:szCs w:val="14"/>
                <w:color w:val="auto"/>
              </w:rPr>
              <w:t xml:space="preserve">Non-recurring basis </w:t>
            </w:r>
            <w:r>
              <w:rPr>
                <w:rFonts w:ascii="Arial" w:cs="Arial" w:eastAsia="Arial" w:hAnsi="Arial"/>
                <w:sz w:val="11"/>
                <w:szCs w:val="11"/>
                <w:color w:val="005BA5"/>
              </w:rPr>
              <w:t>(1)</w:t>
            </w:r>
          </w:p>
        </w:tc>
        <w:tc>
          <w:tcPr>
            <w:tcW w:w="120" w:type="dxa"/>
            <w:vAlign w:val="bottom"/>
          </w:tcPr>
          <w:p>
            <w:pPr>
              <w:spacing w:after="0"/>
              <w:rPr>
                <w:sz w:val="21"/>
                <w:szCs w:val="21"/>
                <w:color w:val="auto"/>
              </w:rPr>
            </w:pPr>
          </w:p>
        </w:tc>
        <w:tc>
          <w:tcPr>
            <w:tcW w:w="180" w:type="dxa"/>
            <w:vAlign w:val="bottom"/>
            <w:tcBorders>
              <w:bottom w:val="single" w:sz="8" w:color="005BA5"/>
            </w:tcBorders>
          </w:tcPr>
          <w:p>
            <w:pPr>
              <w:spacing w:after="0"/>
              <w:rPr>
                <w:sz w:val="21"/>
                <w:szCs w:val="21"/>
                <w:color w:val="auto"/>
              </w:rPr>
            </w:pPr>
          </w:p>
        </w:tc>
        <w:tc>
          <w:tcPr>
            <w:tcW w:w="130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005BA5"/>
            </w:tcBorders>
          </w:tcPr>
          <w:p>
            <w:pPr>
              <w:spacing w:after="0"/>
              <w:rPr>
                <w:sz w:val="21"/>
                <w:szCs w:val="21"/>
                <w:color w:val="auto"/>
              </w:rPr>
            </w:pPr>
          </w:p>
        </w:tc>
        <w:tc>
          <w:tcPr>
            <w:tcW w:w="1200" w:type="dxa"/>
            <w:vAlign w:val="bottom"/>
            <w:tcBorders>
              <w:bottom w:val="single" w:sz="8" w:color="005BA5"/>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116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1"/>
                <w:szCs w:val="21"/>
                <w:color w:val="auto"/>
              </w:rPr>
            </w:pPr>
          </w:p>
        </w:tc>
        <w:tc>
          <w:tcPr>
            <w:tcW w:w="160" w:type="dxa"/>
            <w:vAlign w:val="bottom"/>
            <w:tcBorders>
              <w:bottom w:val="single" w:sz="8" w:color="005BA5"/>
            </w:tcBorders>
          </w:tcPr>
          <w:p>
            <w:pPr>
              <w:spacing w:after="0"/>
              <w:rPr>
                <w:sz w:val="21"/>
                <w:szCs w:val="21"/>
                <w:color w:val="auto"/>
              </w:rPr>
            </w:pPr>
          </w:p>
        </w:tc>
        <w:tc>
          <w:tcPr>
            <w:tcW w:w="1180" w:type="dxa"/>
            <w:vAlign w:val="bottom"/>
            <w:tcBorders>
              <w:bottom w:val="single" w:sz="8" w:color="005BA5"/>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Total assets at fair value</w:t>
            </w:r>
          </w:p>
        </w:tc>
        <w:tc>
          <w:tcPr>
            <w:tcW w:w="120" w:type="dxa"/>
            <w:vAlign w:val="bottom"/>
          </w:tcPr>
          <w:p>
            <w:pPr>
              <w:spacing w:after="0"/>
              <w:rPr>
                <w:sz w:val="21"/>
                <w:szCs w:val="21"/>
                <w:color w:val="auto"/>
              </w:rPr>
            </w:pPr>
          </w:p>
        </w:tc>
        <w:tc>
          <w:tcPr>
            <w:tcW w:w="180" w:type="dxa"/>
            <w:vAlign w:val="bottom"/>
            <w:tcBorders>
              <w:bottom w:val="single" w:sz="8" w:color="005BA5"/>
            </w:tcBorders>
          </w:tcPr>
          <w:p>
            <w:pPr>
              <w:ind w:left="20"/>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b w:val="1"/>
                <w:bCs w:val="1"/>
                <w:color w:val="auto"/>
              </w:rPr>
              <w:t>13,679</w:t>
            </w:r>
          </w:p>
        </w:tc>
        <w:tc>
          <w:tcPr>
            <w:tcW w:w="100" w:type="dxa"/>
            <w:vAlign w:val="bottom"/>
          </w:tcPr>
          <w:p>
            <w:pPr>
              <w:spacing w:after="0"/>
              <w:rPr>
                <w:sz w:val="21"/>
                <w:szCs w:val="21"/>
                <w:color w:val="auto"/>
              </w:rPr>
            </w:pPr>
          </w:p>
        </w:tc>
        <w:tc>
          <w:tcPr>
            <w:tcW w:w="10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005BA5"/>
            </w:tcBorders>
          </w:tcPr>
          <w:p>
            <w:pPr>
              <w:jc w:val="right"/>
              <w:ind w:right="88"/>
              <w:spacing w:after="0"/>
              <w:rPr>
                <w:sz w:val="20"/>
                <w:szCs w:val="20"/>
                <w:color w:val="auto"/>
              </w:rPr>
            </w:pPr>
            <w:r>
              <w:rPr>
                <w:rFonts w:ascii="Arial" w:cs="Arial" w:eastAsia="Arial" w:hAnsi="Arial"/>
                <w:sz w:val="14"/>
                <w:szCs w:val="14"/>
                <w:b w:val="1"/>
                <w:bCs w:val="1"/>
                <w:color w:val="auto"/>
              </w:rPr>
              <w:t>56,944</w:t>
            </w:r>
          </w:p>
        </w:tc>
        <w:tc>
          <w:tcPr>
            <w:tcW w:w="100" w:type="dxa"/>
            <w:vAlign w:val="bottom"/>
          </w:tcPr>
          <w:p>
            <w:pPr>
              <w:spacing w:after="0"/>
              <w:rPr>
                <w:sz w:val="21"/>
                <w:szCs w:val="21"/>
                <w:color w:val="auto"/>
              </w:rPr>
            </w:pPr>
          </w:p>
        </w:tc>
        <w:tc>
          <w:tcPr>
            <w:tcW w:w="22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b w:val="1"/>
                <w:bCs w:val="1"/>
                <w:color w:val="auto"/>
              </w:rPr>
              <w:t>753</w:t>
            </w:r>
          </w:p>
        </w:tc>
        <w:tc>
          <w:tcPr>
            <w:tcW w:w="120" w:type="dxa"/>
            <w:vAlign w:val="bottom"/>
          </w:tcPr>
          <w:p>
            <w:pPr>
              <w:spacing w:after="0"/>
              <w:rPr>
                <w:sz w:val="21"/>
                <w:szCs w:val="21"/>
                <w:color w:val="auto"/>
              </w:rPr>
            </w:pPr>
          </w:p>
        </w:tc>
        <w:tc>
          <w:tcPr>
            <w:tcW w:w="16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05BA5"/>
            </w:tcBorders>
          </w:tcPr>
          <w:p>
            <w:pPr>
              <w:jc w:val="right"/>
              <w:ind w:right="88"/>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21"/>
                <w:szCs w:val="21"/>
                <w:color w:val="auto"/>
              </w:rPr>
            </w:pPr>
          </w:p>
        </w:tc>
        <w:tc>
          <w:tcPr>
            <w:tcW w:w="320" w:type="dxa"/>
            <w:vAlign w:val="bottom"/>
            <w:tcBorders>
              <w:bottom w:val="single" w:sz="8" w:color="005BA5"/>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b w:val="1"/>
                <w:bCs w:val="1"/>
                <w:color w:val="auto"/>
              </w:rPr>
              <w:t>71,349</w:t>
            </w:r>
          </w:p>
        </w:tc>
        <w:tc>
          <w:tcPr>
            <w:tcW w:w="0" w:type="dxa"/>
            <w:vAlign w:val="bottom"/>
          </w:tcPr>
          <w:p>
            <w:pPr>
              <w:spacing w:after="0"/>
              <w:rPr>
                <w:sz w:val="1"/>
                <w:szCs w:val="1"/>
                <w:color w:val="auto"/>
              </w:rPr>
            </w:pPr>
          </w:p>
        </w:tc>
      </w:tr>
      <w:tr>
        <w:trPr>
          <w:trHeight w:val="250"/>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 of total assets at fair value</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20"/>
              <w:spacing w:after="0"/>
              <w:rPr>
                <w:sz w:val="20"/>
                <w:szCs w:val="20"/>
                <w:color w:val="auto"/>
              </w:rPr>
            </w:pPr>
            <w:r>
              <w:rPr>
                <w:rFonts w:ascii="Arial" w:cs="Arial" w:eastAsia="Arial" w:hAnsi="Arial"/>
                <w:sz w:val="14"/>
                <w:szCs w:val="14"/>
                <w:color w:val="auto"/>
              </w:rPr>
              <w:t>— %</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70"/>
        </w:trPr>
        <w:tc>
          <w:tcPr>
            <w:tcW w:w="4000" w:type="dxa"/>
            <w:vAlign w:val="bottom"/>
            <w:tcBorders>
              <w:top w:val="single" w:sz="8" w:color="ACACAC"/>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ACACAC"/>
              <w:bottom w:val="single" w:sz="8" w:color="ACACAC"/>
            </w:tcBorders>
          </w:tcPr>
          <w:p>
            <w:pPr>
              <w:spacing w:after="0"/>
              <w:rPr>
                <w:sz w:val="23"/>
                <w:szCs w:val="23"/>
                <w:color w:val="auto"/>
              </w:rPr>
            </w:pPr>
          </w:p>
        </w:tc>
        <w:tc>
          <w:tcPr>
            <w:tcW w:w="130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CACAC"/>
              <w:bottom w:val="single" w:sz="8" w:color="ACACAC"/>
            </w:tcBorders>
          </w:tcPr>
          <w:p>
            <w:pPr>
              <w:spacing w:after="0"/>
              <w:rPr>
                <w:sz w:val="23"/>
                <w:szCs w:val="23"/>
                <w:color w:val="auto"/>
              </w:rPr>
            </w:pPr>
          </w:p>
        </w:tc>
        <w:tc>
          <w:tcPr>
            <w:tcW w:w="120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CACAC"/>
              <w:bottom w:val="single" w:sz="8" w:color="ACACAC"/>
            </w:tcBorders>
          </w:tcPr>
          <w:p>
            <w:pPr>
              <w:spacing w:after="0"/>
              <w:rPr>
                <w:sz w:val="23"/>
                <w:szCs w:val="23"/>
                <w:color w:val="auto"/>
              </w:rPr>
            </w:pPr>
          </w:p>
        </w:tc>
        <w:tc>
          <w:tcPr>
            <w:tcW w:w="1160" w:type="dxa"/>
            <w:vAlign w:val="bottom"/>
            <w:tcBorders>
              <w:top w:val="single" w:sz="8" w:color="ACACAC"/>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CACAC"/>
              <w:bottom w:val="single" w:sz="8" w:color="ACACAC"/>
            </w:tcBorders>
          </w:tcPr>
          <w:p>
            <w:pPr>
              <w:spacing w:after="0"/>
              <w:rPr>
                <w:sz w:val="23"/>
                <w:szCs w:val="23"/>
                <w:color w:val="auto"/>
              </w:rPr>
            </w:pPr>
          </w:p>
        </w:tc>
        <w:tc>
          <w:tcPr>
            <w:tcW w:w="118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ACACAC"/>
              <w:bottom w:val="single" w:sz="8" w:color="ACACAC"/>
            </w:tcBorders>
          </w:tcPr>
          <w:p>
            <w:pPr>
              <w:spacing w:after="0"/>
              <w:rPr>
                <w:sz w:val="23"/>
                <w:szCs w:val="23"/>
                <w:color w:val="auto"/>
              </w:rPr>
            </w:pPr>
          </w:p>
        </w:tc>
        <w:tc>
          <w:tcPr>
            <w:tcW w:w="1060" w:type="dxa"/>
            <w:vAlign w:val="bottom"/>
            <w:tcBorders>
              <w:top w:val="single" w:sz="8" w:color="ACACAC"/>
              <w:bottom w:val="single" w:sz="8" w:color="ACACAC"/>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4000" w:type="dxa"/>
            <w:vAlign w:val="bottom"/>
            <w:tcBorders>
              <w:bottom w:val="single" w:sz="8" w:color="005BA5"/>
            </w:tcBorders>
          </w:tcPr>
          <w:p>
            <w:pPr>
              <w:ind w:left="40"/>
              <w:spacing w:after="0"/>
              <w:rPr>
                <w:sz w:val="20"/>
                <w:szCs w:val="20"/>
                <w:color w:val="auto"/>
              </w:rPr>
            </w:pPr>
            <w:r>
              <w:rPr>
                <w:rFonts w:ascii="Arial" w:cs="Arial" w:eastAsia="Arial" w:hAnsi="Arial"/>
                <w:sz w:val="14"/>
                <w:szCs w:val="14"/>
                <w:color w:val="auto"/>
              </w:rPr>
              <w:t>Investments reported at NAV</w:t>
            </w:r>
          </w:p>
        </w:tc>
        <w:tc>
          <w:tcPr>
            <w:tcW w:w="120" w:type="dxa"/>
            <w:vAlign w:val="bottom"/>
          </w:tcPr>
          <w:p>
            <w:pPr>
              <w:spacing w:after="0"/>
              <w:rPr>
                <w:sz w:val="22"/>
                <w:szCs w:val="22"/>
                <w:color w:val="auto"/>
              </w:rPr>
            </w:pPr>
          </w:p>
        </w:tc>
        <w:tc>
          <w:tcPr>
            <w:tcW w:w="180" w:type="dxa"/>
            <w:vAlign w:val="bottom"/>
            <w:tcBorders>
              <w:bottom w:val="single" w:sz="8" w:color="005BA5"/>
            </w:tcBorders>
          </w:tcPr>
          <w:p>
            <w:pPr>
              <w:spacing w:after="0"/>
              <w:rPr>
                <w:sz w:val="22"/>
                <w:szCs w:val="22"/>
                <w:color w:val="auto"/>
              </w:rPr>
            </w:pPr>
          </w:p>
        </w:tc>
        <w:tc>
          <w:tcPr>
            <w:tcW w:w="1300" w:type="dxa"/>
            <w:vAlign w:val="bottom"/>
            <w:tcBorders>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005BA5"/>
            </w:tcBorders>
          </w:tcPr>
          <w:p>
            <w:pPr>
              <w:spacing w:after="0"/>
              <w:rPr>
                <w:sz w:val="22"/>
                <w:szCs w:val="22"/>
                <w:color w:val="auto"/>
              </w:rPr>
            </w:pPr>
          </w:p>
        </w:tc>
        <w:tc>
          <w:tcPr>
            <w:tcW w:w="1200" w:type="dxa"/>
            <w:vAlign w:val="bottom"/>
            <w:tcBorders>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005BA5"/>
            </w:tcBorders>
          </w:tcPr>
          <w:p>
            <w:pPr>
              <w:spacing w:after="0"/>
              <w:rPr>
                <w:sz w:val="22"/>
                <w:szCs w:val="22"/>
                <w:color w:val="auto"/>
              </w:rPr>
            </w:pPr>
          </w:p>
        </w:tc>
        <w:tc>
          <w:tcPr>
            <w:tcW w:w="1160" w:type="dxa"/>
            <w:vAlign w:val="bottom"/>
            <w:tcBorders>
              <w:bottom w:val="single" w:sz="8" w:color="005BA5"/>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005BA5"/>
            </w:tcBorders>
          </w:tcPr>
          <w:p>
            <w:pPr>
              <w:spacing w:after="0"/>
              <w:rPr>
                <w:sz w:val="22"/>
                <w:szCs w:val="22"/>
                <w:color w:val="auto"/>
              </w:rPr>
            </w:pPr>
          </w:p>
        </w:tc>
        <w:tc>
          <w:tcPr>
            <w:tcW w:w="1180" w:type="dxa"/>
            <w:vAlign w:val="bottom"/>
            <w:tcBorders>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005BA5"/>
            </w:tcBorders>
          </w:tcPr>
          <w:p>
            <w:pPr>
              <w:spacing w:after="0"/>
              <w:rPr>
                <w:sz w:val="22"/>
                <w:szCs w:val="22"/>
                <w:color w:val="auto"/>
              </w:rPr>
            </w:pPr>
          </w:p>
        </w:tc>
        <w:tc>
          <w:tcPr>
            <w:tcW w:w="106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color w:val="auto"/>
              </w:rPr>
              <w:t>1,738</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b w:val="1"/>
                <w:bCs w:val="1"/>
                <w:color w:val="auto"/>
              </w:rPr>
              <w:t>73,087</w:t>
            </w:r>
          </w:p>
        </w:tc>
        <w:tc>
          <w:tcPr>
            <w:tcW w:w="0" w:type="dxa"/>
            <w:vAlign w:val="bottom"/>
          </w:tcPr>
          <w:p>
            <w:pPr>
              <w:spacing w:after="0"/>
              <w:rPr>
                <w:sz w:val="1"/>
                <w:szCs w:val="1"/>
                <w:color w:val="auto"/>
              </w:rPr>
            </w:pPr>
          </w:p>
        </w:tc>
      </w:tr>
      <w:tr>
        <w:trPr>
          <w:trHeight w:val="270"/>
        </w:trPr>
        <w:tc>
          <w:tcPr>
            <w:tcW w:w="4000" w:type="dxa"/>
            <w:vAlign w:val="bottom"/>
            <w:tcBorders>
              <w:top w:val="single" w:sz="8" w:color="005BA5"/>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top w:val="single" w:sz="8" w:color="005BA5"/>
              <w:bottom w:val="single" w:sz="8" w:color="ACACAC"/>
            </w:tcBorders>
          </w:tcPr>
          <w:p>
            <w:pPr>
              <w:spacing w:after="0"/>
              <w:rPr>
                <w:sz w:val="23"/>
                <w:szCs w:val="23"/>
                <w:color w:val="auto"/>
              </w:rPr>
            </w:pPr>
          </w:p>
        </w:tc>
        <w:tc>
          <w:tcPr>
            <w:tcW w:w="1300" w:type="dxa"/>
            <w:vAlign w:val="bottom"/>
            <w:tcBorders>
              <w:top w:val="single" w:sz="8" w:color="005BA5"/>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005BA5"/>
              <w:bottom w:val="single" w:sz="8" w:color="ACACAC"/>
            </w:tcBorders>
          </w:tcPr>
          <w:p>
            <w:pPr>
              <w:spacing w:after="0"/>
              <w:rPr>
                <w:sz w:val="23"/>
                <w:szCs w:val="23"/>
                <w:color w:val="auto"/>
              </w:rPr>
            </w:pPr>
          </w:p>
        </w:tc>
        <w:tc>
          <w:tcPr>
            <w:tcW w:w="1200" w:type="dxa"/>
            <w:vAlign w:val="bottom"/>
            <w:tcBorders>
              <w:top w:val="single" w:sz="8" w:color="005BA5"/>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005BA5"/>
              <w:bottom w:val="single" w:sz="8" w:color="ACACAC"/>
            </w:tcBorders>
          </w:tcPr>
          <w:p>
            <w:pPr>
              <w:spacing w:after="0"/>
              <w:rPr>
                <w:sz w:val="23"/>
                <w:szCs w:val="23"/>
                <w:color w:val="auto"/>
              </w:rPr>
            </w:pPr>
          </w:p>
        </w:tc>
        <w:tc>
          <w:tcPr>
            <w:tcW w:w="1160" w:type="dxa"/>
            <w:vAlign w:val="bottom"/>
            <w:tcBorders>
              <w:top w:val="single" w:sz="8" w:color="005BA5"/>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005BA5"/>
              <w:bottom w:val="single" w:sz="8" w:color="ACACAC"/>
            </w:tcBorders>
          </w:tcPr>
          <w:p>
            <w:pPr>
              <w:spacing w:after="0"/>
              <w:rPr>
                <w:sz w:val="23"/>
                <w:szCs w:val="23"/>
                <w:color w:val="auto"/>
              </w:rPr>
            </w:pPr>
          </w:p>
        </w:tc>
        <w:tc>
          <w:tcPr>
            <w:tcW w:w="1180" w:type="dxa"/>
            <w:vAlign w:val="bottom"/>
            <w:tcBorders>
              <w:top w:val="single" w:sz="8" w:color="005BA5"/>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top w:val="single" w:sz="8" w:color="005BA5"/>
              <w:bottom w:val="single" w:sz="8" w:color="ACACAC"/>
            </w:tcBorders>
          </w:tcPr>
          <w:p>
            <w:pPr>
              <w:spacing w:after="0"/>
              <w:rPr>
                <w:sz w:val="23"/>
                <w:szCs w:val="23"/>
                <w:color w:val="auto"/>
              </w:rPr>
            </w:pPr>
          </w:p>
        </w:tc>
        <w:tc>
          <w:tcPr>
            <w:tcW w:w="1060" w:type="dxa"/>
            <w:vAlign w:val="bottom"/>
            <w:tcBorders>
              <w:top w:val="single" w:sz="8" w:color="005BA5"/>
              <w:bottom w:val="single" w:sz="8" w:color="ACACAC"/>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ACACAC"/>
            </w:tcBorders>
          </w:tcPr>
          <w:p>
            <w:pPr>
              <w:ind w:left="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412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Contractholder funds: Derivatives embedded in life and annuity</w:t>
            </w: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00" w:type="dxa"/>
            <w:vAlign w:val="bottom"/>
            <w:tcBorders>
              <w:bottom w:val="single" w:sz="8" w:color="ACACAC"/>
            </w:tcBorders>
          </w:tcPr>
          <w:p>
            <w:pPr>
              <w:ind w:left="180"/>
              <w:spacing w:after="0"/>
              <w:rPr>
                <w:sz w:val="20"/>
                <w:szCs w:val="20"/>
                <w:color w:val="auto"/>
              </w:rPr>
            </w:pPr>
            <w:r>
              <w:rPr>
                <w:rFonts w:ascii="Arial" w:cs="Arial" w:eastAsia="Arial" w:hAnsi="Arial"/>
                <w:sz w:val="14"/>
                <w:szCs w:val="14"/>
                <w:color w:val="auto"/>
              </w:rPr>
              <w:t>contracts</w:t>
            </w:r>
          </w:p>
        </w:tc>
        <w:tc>
          <w:tcPr>
            <w:tcW w:w="120" w:type="dxa"/>
            <w:vAlign w:val="bottom"/>
          </w:tcPr>
          <w:p>
            <w:pPr>
              <w:spacing w:after="0"/>
              <w:rPr>
                <w:sz w:val="16"/>
                <w:szCs w:val="16"/>
                <w:color w:val="auto"/>
              </w:rPr>
            </w:pPr>
          </w:p>
        </w:tc>
        <w:tc>
          <w:tcPr>
            <w:tcW w:w="180" w:type="dxa"/>
            <w:vAlign w:val="bottom"/>
            <w:tcBorders>
              <w:bottom w:val="single" w:sz="8" w:color="ACACAC"/>
            </w:tcBorders>
          </w:tcPr>
          <w:p>
            <w:pPr>
              <w:ind w:left="2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CACAC"/>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CACAC"/>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(251)</w:t>
            </w:r>
          </w:p>
        </w:tc>
        <w:tc>
          <w:tcPr>
            <w:tcW w:w="120" w:type="dxa"/>
            <w:vAlign w:val="bottom"/>
          </w:tcPr>
          <w:p>
            <w:pPr>
              <w:spacing w:after="0"/>
              <w:rPr>
                <w:sz w:val="16"/>
                <w:szCs w:val="16"/>
                <w:color w:val="auto"/>
              </w:rPr>
            </w:pPr>
          </w:p>
        </w:tc>
        <w:tc>
          <w:tcPr>
            <w:tcW w:w="160" w:type="dxa"/>
            <w:vAlign w:val="bottom"/>
            <w:tcBorders>
              <w:bottom w:val="single" w:sz="8" w:color="ACACAC"/>
            </w:tcBorders>
          </w:tcPr>
          <w:p>
            <w:pPr>
              <w:spacing w:after="0"/>
              <w:rPr>
                <w:sz w:val="16"/>
                <w:szCs w:val="16"/>
                <w:color w:val="auto"/>
              </w:rPr>
            </w:pPr>
          </w:p>
        </w:tc>
        <w:tc>
          <w:tcPr>
            <w:tcW w:w="1180" w:type="dxa"/>
            <w:vAlign w:val="bottom"/>
            <w:tcBorders>
              <w:bottom w:val="single" w:sz="8" w:color="ACACAC"/>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CACAC"/>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005BA5"/>
            </w:tcBorders>
          </w:tcPr>
          <w:p>
            <w:pPr>
              <w:ind w:left="180"/>
              <w:spacing w:after="0"/>
              <w:rPr>
                <w:sz w:val="20"/>
                <w:szCs w:val="20"/>
                <w:color w:val="auto"/>
              </w:rPr>
            </w:pPr>
            <w:r>
              <w:rPr>
                <w:rFonts w:ascii="Arial" w:cs="Arial" w:eastAsia="Arial" w:hAnsi="Arial"/>
                <w:sz w:val="14"/>
                <w:szCs w:val="14"/>
                <w:color w:val="auto"/>
              </w:rPr>
              <w:t>Other liabilities: Free-standing derivatives</w:t>
            </w:r>
          </w:p>
        </w:tc>
        <w:tc>
          <w:tcPr>
            <w:tcW w:w="120" w:type="dxa"/>
            <w:vAlign w:val="bottom"/>
          </w:tcPr>
          <w:p>
            <w:pPr>
              <w:spacing w:after="0"/>
              <w:rPr>
                <w:sz w:val="21"/>
                <w:szCs w:val="21"/>
                <w:color w:val="auto"/>
              </w:rPr>
            </w:pPr>
          </w:p>
        </w:tc>
        <w:tc>
          <w:tcPr>
            <w:tcW w:w="180" w:type="dxa"/>
            <w:vAlign w:val="bottom"/>
            <w:tcBorders>
              <w:bottom w:val="single" w:sz="8" w:color="005BA5"/>
            </w:tcBorders>
          </w:tcPr>
          <w:p>
            <w:pPr>
              <w:spacing w:after="0"/>
              <w:rPr>
                <w:sz w:val="21"/>
                <w:szCs w:val="21"/>
                <w:color w:val="auto"/>
              </w:rPr>
            </w:pPr>
          </w:p>
        </w:tc>
        <w:tc>
          <w:tcPr>
            <w:tcW w:w="130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00" w:type="dxa"/>
            <w:vAlign w:val="bottom"/>
            <w:tcBorders>
              <w:bottom w:val="single" w:sz="8" w:color="005BA5"/>
            </w:tcBorders>
          </w:tcPr>
          <w:p>
            <w:pPr>
              <w:spacing w:after="0"/>
              <w:rPr>
                <w:sz w:val="21"/>
                <w:szCs w:val="21"/>
                <w:color w:val="auto"/>
              </w:rPr>
            </w:pPr>
          </w:p>
        </w:tc>
        <w:tc>
          <w:tcPr>
            <w:tcW w:w="120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1160" w:type="dxa"/>
            <w:vAlign w:val="bottom"/>
            <w:tcBorders>
              <w:bottom w:val="single" w:sz="8" w:color="005BA5"/>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60" w:type="dxa"/>
            <w:vAlign w:val="bottom"/>
            <w:tcBorders>
              <w:bottom w:val="single" w:sz="8" w:color="005BA5"/>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BA5"/>
            </w:tcBorders>
          </w:tcPr>
          <w:p>
            <w:pPr>
              <w:jc w:val="right"/>
              <w:ind w:right="1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Total recurring basis liabilities</w:t>
            </w:r>
          </w:p>
        </w:tc>
        <w:tc>
          <w:tcPr>
            <w:tcW w:w="120" w:type="dxa"/>
            <w:vAlign w:val="bottom"/>
          </w:tcPr>
          <w:p>
            <w:pPr>
              <w:spacing w:after="0"/>
              <w:rPr>
                <w:sz w:val="21"/>
                <w:szCs w:val="21"/>
                <w:color w:val="auto"/>
              </w:rPr>
            </w:pPr>
          </w:p>
        </w:tc>
        <w:tc>
          <w:tcPr>
            <w:tcW w:w="180" w:type="dxa"/>
            <w:vAlign w:val="bottom"/>
            <w:tcBorders>
              <w:bottom w:val="single" w:sz="8" w:color="005BA5"/>
            </w:tcBorders>
          </w:tcPr>
          <w:p>
            <w:pPr>
              <w:ind w:left="20"/>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1"/>
                <w:szCs w:val="21"/>
                <w:color w:val="auto"/>
              </w:rPr>
            </w:pPr>
          </w:p>
        </w:tc>
        <w:tc>
          <w:tcPr>
            <w:tcW w:w="10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21"/>
                <w:szCs w:val="21"/>
                <w:color w:val="auto"/>
              </w:rPr>
            </w:pPr>
          </w:p>
        </w:tc>
        <w:tc>
          <w:tcPr>
            <w:tcW w:w="22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b w:val="1"/>
                <w:bCs w:val="1"/>
                <w:color w:val="auto"/>
              </w:rPr>
              <w:t>(251)</w:t>
            </w:r>
          </w:p>
        </w:tc>
        <w:tc>
          <w:tcPr>
            <w:tcW w:w="120" w:type="dxa"/>
            <w:vAlign w:val="bottom"/>
          </w:tcPr>
          <w:p>
            <w:pPr>
              <w:spacing w:after="0"/>
              <w:rPr>
                <w:sz w:val="21"/>
                <w:szCs w:val="21"/>
                <w:color w:val="auto"/>
              </w:rPr>
            </w:pPr>
          </w:p>
        </w:tc>
        <w:tc>
          <w:tcPr>
            <w:tcW w:w="16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05BA5"/>
            </w:tcBorders>
          </w:tcPr>
          <w:p>
            <w:pPr>
              <w:jc w:val="right"/>
              <w:ind w:right="128"/>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21"/>
                <w:szCs w:val="21"/>
                <w:color w:val="auto"/>
              </w:rPr>
            </w:pPr>
          </w:p>
        </w:tc>
        <w:tc>
          <w:tcPr>
            <w:tcW w:w="320" w:type="dxa"/>
            <w:vAlign w:val="bottom"/>
            <w:tcBorders>
              <w:bottom w:val="single" w:sz="8" w:color="005BA5"/>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b w:val="1"/>
                <w:bCs w:val="1"/>
                <w:color w:val="auto"/>
              </w:rPr>
              <w:t>(297)</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 of total liabilities at fair value</w:t>
            </w:r>
          </w:p>
        </w:tc>
        <w:tc>
          <w:tcPr>
            <w:tcW w:w="120" w:type="dxa"/>
            <w:vAlign w:val="bottom"/>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84.5%</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60" w:hanging="171"/>
        <w:spacing w:after="0"/>
        <w:tabs>
          <w:tab w:leader="none" w:pos="260" w:val="left"/>
        </w:tabs>
        <w:numPr>
          <w:ilvl w:val="0"/>
          <w:numId w:val="15"/>
        </w:numPr>
        <w:rPr>
          <w:rFonts w:ascii="Arial" w:cs="Arial" w:eastAsia="Arial" w:hAnsi="Arial"/>
          <w:sz w:val="20"/>
          <w:szCs w:val="20"/>
          <w:color w:val="005BA5"/>
          <w:vertAlign w:val="superscript"/>
        </w:rPr>
      </w:pPr>
      <w:r>
        <w:rPr>
          <w:rFonts w:ascii="Arial" w:cs="Arial" w:eastAsia="Arial" w:hAnsi="Arial"/>
          <w:sz w:val="12"/>
          <w:szCs w:val="12"/>
          <w:color w:val="auto"/>
        </w:rPr>
        <w:t>Includes $3 million of limited partnerships and $36 million of bank loans written-down to fair value in connection with recognizing OTTI impairments.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26 </w:t>
      </w:r>
      <w:r>
        <w:rPr>
          <w:sz w:val="1"/>
          <w:szCs w:val="1"/>
          <w:color w:val="auto"/>
        </w:rPr>
        <w:drawing>
          <wp:inline distT="0" distB="0" distL="0" distR="0">
            <wp:extent cx="111760" cy="1117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420"/>
          </w:cols>
          <w:pgMar w:left="240" w:top="141" w:right="239" w:bottom="1440" w:gutter="0" w:footer="0" w:header="0"/>
        </w:sectPr>
      </w:pPr>
    </w:p>
    <w:bookmarkStart w:id="30" w:name="page31"/>
    <w:bookmarkEnd w:id="30"/>
    <w:p>
      <w:pPr>
        <w:ind w:left="740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Assets and liabilities measured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8"/>
          </w:tcPr>
          <w:p>
            <w:pPr>
              <w:jc w:val="center"/>
              <w:ind w:right="8"/>
              <w:spacing w:after="0"/>
              <w:rPr>
                <w:sz w:val="20"/>
                <w:szCs w:val="20"/>
                <w:color w:val="auto"/>
              </w:rPr>
            </w:pPr>
            <w:r>
              <w:rPr>
                <w:rFonts w:ascii="Arial" w:cs="Arial" w:eastAsia="Arial" w:hAnsi="Arial"/>
                <w:sz w:val="16"/>
                <w:szCs w:val="16"/>
                <w:b w:val="1"/>
                <w:bCs w:val="1"/>
                <w:color w:val="auto"/>
                <w:w w:val="91"/>
              </w:rPr>
              <w:t>As of December 31, 2018</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6"/>
          </w:tcPr>
          <w:p>
            <w:pPr>
              <w:ind w:left="40"/>
              <w:spacing w:after="0" w:line="147" w:lineRule="exact"/>
              <w:rPr>
                <w:sz w:val="20"/>
                <w:szCs w:val="20"/>
                <w:color w:val="auto"/>
              </w:rPr>
            </w:pPr>
            <w:r>
              <w:rPr>
                <w:rFonts w:ascii="Arial" w:cs="Arial" w:eastAsia="Arial" w:hAnsi="Arial"/>
                <w:sz w:val="14"/>
                <w:szCs w:val="14"/>
                <w:b w:val="1"/>
                <w:bCs w:val="1"/>
                <w:color w:val="auto"/>
                <w:w w:val="98"/>
              </w:rPr>
              <w:t>Quoted prices in active</w:t>
            </w:r>
          </w:p>
        </w:tc>
        <w:tc>
          <w:tcPr>
            <w:tcW w:w="13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Significant 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Counterparty</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markets for</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5"/>
          </w:tcPr>
          <w:p>
            <w:pPr>
              <w:ind w:left="180"/>
              <w:spacing w:after="0" w:line="149" w:lineRule="exact"/>
              <w:rPr>
                <w:sz w:val="20"/>
                <w:szCs w:val="20"/>
                <w:color w:val="auto"/>
              </w:rPr>
            </w:pPr>
            <w:r>
              <w:rPr>
                <w:rFonts w:ascii="Arial" w:cs="Arial" w:eastAsia="Arial" w:hAnsi="Arial"/>
                <w:sz w:val="14"/>
                <w:szCs w:val="14"/>
                <w:b w:val="1"/>
                <w:bCs w:val="1"/>
                <w:color w:val="auto"/>
              </w:rPr>
              <w:t>identical assets</w:t>
            </w:r>
          </w:p>
        </w:tc>
        <w:tc>
          <w:tcPr>
            <w:tcW w:w="13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observable inputs</w:t>
            </w:r>
          </w:p>
        </w:tc>
        <w:tc>
          <w:tcPr>
            <w:tcW w:w="100" w:type="dxa"/>
            <w:vAlign w:val="bottom"/>
          </w:tcPr>
          <w:p>
            <w:pPr>
              <w:spacing w:after="0"/>
              <w:rPr>
                <w:sz w:val="12"/>
                <w:szCs w:val="12"/>
                <w:color w:val="auto"/>
              </w:rPr>
            </w:pPr>
          </w:p>
        </w:tc>
        <w:tc>
          <w:tcPr>
            <w:tcW w:w="15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14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and cash collateral</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center"/>
              <w:ind w:right="167"/>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3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6"/>
              <w:spacing w:after="0"/>
              <w:rPr>
                <w:sz w:val="20"/>
                <w:szCs w:val="20"/>
                <w:color w:val="auto"/>
              </w:rPr>
            </w:pPr>
            <w:r>
              <w:rPr>
                <w:rFonts w:ascii="Arial" w:cs="Arial" w:eastAsia="Arial" w:hAnsi="Arial"/>
                <w:sz w:val="14"/>
                <w:szCs w:val="14"/>
                <w:b w:val="1"/>
                <w:bCs w:val="1"/>
                <w:color w:val="auto"/>
              </w:rPr>
              <w:t>(Level 1)</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netting</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top w:val="single" w:sz="8" w:color="005BA5"/>
              <w:bottom w:val="single" w:sz="8" w:color="ACACAC"/>
            </w:tcBorders>
            <w:gridSpan w:val="2"/>
          </w:tcPr>
          <w:p>
            <w:pPr>
              <w:ind w:left="4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005BA5"/>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005BA5"/>
              <w:bottom w:val="single" w:sz="8" w:color="ACACAC"/>
            </w:tcBorders>
          </w:tcPr>
          <w:p>
            <w:pPr>
              <w:spacing w:after="0"/>
              <w:rPr>
                <w:sz w:val="21"/>
                <w:szCs w:val="21"/>
                <w:color w:val="auto"/>
              </w:rPr>
            </w:pPr>
          </w:p>
        </w:tc>
        <w:tc>
          <w:tcPr>
            <w:tcW w:w="1020" w:type="dxa"/>
            <w:vAlign w:val="bottom"/>
            <w:tcBorders>
              <w:top w:val="single" w:sz="8" w:color="005BA5"/>
              <w:bottom w:val="single" w:sz="8" w:color="ACACAC"/>
            </w:tcBorders>
          </w:tcPr>
          <w:p>
            <w:pPr>
              <w:spacing w:after="0"/>
              <w:rPr>
                <w:sz w:val="21"/>
                <w:szCs w:val="21"/>
                <w:color w:val="auto"/>
              </w:rPr>
            </w:pPr>
          </w:p>
        </w:tc>
        <w:tc>
          <w:tcPr>
            <w:tcW w:w="40" w:type="dxa"/>
            <w:vAlign w:val="bottom"/>
            <w:tcBorders>
              <w:top w:val="single" w:sz="8" w:color="005BA5"/>
              <w:bottom w:val="single" w:sz="8" w:color="ACACAC"/>
            </w:tcBorders>
          </w:tcPr>
          <w:p>
            <w:pPr>
              <w:spacing w:after="0"/>
              <w:rPr>
                <w:sz w:val="21"/>
                <w:szCs w:val="21"/>
                <w:color w:val="auto"/>
              </w:rPr>
            </w:pPr>
          </w:p>
        </w:tc>
        <w:tc>
          <w:tcPr>
            <w:tcW w:w="140" w:type="dxa"/>
            <w:vAlign w:val="bottom"/>
            <w:tcBorders>
              <w:top w:val="single" w:sz="8" w:color="005BA5"/>
              <w:bottom w:val="single" w:sz="8" w:color="ACACAC"/>
            </w:tcBorders>
          </w:tcPr>
          <w:p>
            <w:pPr>
              <w:spacing w:after="0"/>
              <w:rPr>
                <w:sz w:val="21"/>
                <w:szCs w:val="21"/>
                <w:color w:val="auto"/>
              </w:rPr>
            </w:pPr>
          </w:p>
        </w:tc>
        <w:tc>
          <w:tcPr>
            <w:tcW w:w="180" w:type="dxa"/>
            <w:vAlign w:val="bottom"/>
            <w:tcBorders>
              <w:top w:val="single" w:sz="8" w:color="005BA5"/>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top w:val="single" w:sz="8" w:color="005BA5"/>
              <w:bottom w:val="single" w:sz="8" w:color="ACACAC"/>
            </w:tcBorders>
          </w:tcPr>
          <w:p>
            <w:pPr>
              <w:spacing w:after="0"/>
              <w:rPr>
                <w:sz w:val="21"/>
                <w:szCs w:val="21"/>
                <w:color w:val="auto"/>
              </w:rPr>
            </w:pPr>
          </w:p>
        </w:tc>
        <w:tc>
          <w:tcPr>
            <w:tcW w:w="340" w:type="dxa"/>
            <w:vAlign w:val="bottom"/>
            <w:tcBorders>
              <w:top w:val="single" w:sz="8" w:color="005BA5"/>
              <w:bottom w:val="single" w:sz="8" w:color="ACACAC"/>
            </w:tcBorders>
          </w:tcPr>
          <w:p>
            <w:pPr>
              <w:spacing w:after="0"/>
              <w:rPr>
                <w:sz w:val="21"/>
                <w:szCs w:val="21"/>
                <w:color w:val="auto"/>
              </w:rPr>
            </w:pPr>
          </w:p>
        </w:tc>
        <w:tc>
          <w:tcPr>
            <w:tcW w:w="100" w:type="dxa"/>
            <w:vAlign w:val="bottom"/>
            <w:tcBorders>
              <w:top w:val="single" w:sz="8" w:color="005BA5"/>
              <w:bottom w:val="single" w:sz="8" w:color="ACACAC"/>
            </w:tcBorders>
          </w:tcPr>
          <w:p>
            <w:pPr>
              <w:spacing w:after="0"/>
              <w:rPr>
                <w:sz w:val="21"/>
                <w:szCs w:val="21"/>
                <w:color w:val="auto"/>
              </w:rPr>
            </w:pPr>
          </w:p>
        </w:tc>
        <w:tc>
          <w:tcPr>
            <w:tcW w:w="120" w:type="dxa"/>
            <w:vAlign w:val="bottom"/>
            <w:tcBorders>
              <w:top w:val="single" w:sz="8" w:color="005BA5"/>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005BA5"/>
              <w:bottom w:val="single" w:sz="8" w:color="ACACAC"/>
            </w:tcBorders>
          </w:tcPr>
          <w:p>
            <w:pPr>
              <w:spacing w:after="0"/>
              <w:rPr>
                <w:sz w:val="21"/>
                <w:szCs w:val="21"/>
                <w:color w:val="auto"/>
              </w:rPr>
            </w:pPr>
          </w:p>
        </w:tc>
        <w:tc>
          <w:tcPr>
            <w:tcW w:w="1280" w:type="dxa"/>
            <w:vAlign w:val="bottom"/>
            <w:tcBorders>
              <w:top w:val="single" w:sz="8" w:color="005BA5"/>
              <w:bottom w:val="single" w:sz="8" w:color="ACACAC"/>
            </w:tcBorders>
          </w:tcPr>
          <w:p>
            <w:pPr>
              <w:spacing w:after="0"/>
              <w:rPr>
                <w:sz w:val="21"/>
                <w:szCs w:val="21"/>
                <w:color w:val="auto"/>
              </w:rPr>
            </w:pPr>
          </w:p>
        </w:tc>
        <w:tc>
          <w:tcPr>
            <w:tcW w:w="20" w:type="dxa"/>
            <w:vAlign w:val="bottom"/>
            <w:tcBorders>
              <w:top w:val="single" w:sz="8" w:color="005BA5"/>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005BA5"/>
              <w:bottom w:val="single" w:sz="8" w:color="ACACAC"/>
            </w:tcBorders>
          </w:tcPr>
          <w:p>
            <w:pPr>
              <w:spacing w:after="0"/>
              <w:rPr>
                <w:sz w:val="21"/>
                <w:szCs w:val="21"/>
                <w:color w:val="auto"/>
              </w:rPr>
            </w:pPr>
          </w:p>
        </w:tc>
        <w:tc>
          <w:tcPr>
            <w:tcW w:w="1180" w:type="dxa"/>
            <w:vAlign w:val="bottom"/>
            <w:tcBorders>
              <w:top w:val="single" w:sz="8" w:color="005BA5"/>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005BA5"/>
              <w:bottom w:val="single" w:sz="8" w:color="ACACAC"/>
            </w:tcBorders>
          </w:tcPr>
          <w:p>
            <w:pPr>
              <w:spacing w:after="0"/>
              <w:rPr>
                <w:sz w:val="21"/>
                <w:szCs w:val="21"/>
                <w:color w:val="auto"/>
              </w:rPr>
            </w:pPr>
          </w:p>
        </w:tc>
        <w:tc>
          <w:tcPr>
            <w:tcW w:w="220" w:type="dxa"/>
            <w:vAlign w:val="bottom"/>
            <w:tcBorders>
              <w:top w:val="single" w:sz="8" w:color="005BA5"/>
              <w:bottom w:val="single" w:sz="8" w:color="ACACAC"/>
            </w:tcBorders>
          </w:tcPr>
          <w:p>
            <w:pPr>
              <w:spacing w:after="0"/>
              <w:rPr>
                <w:sz w:val="21"/>
                <w:szCs w:val="21"/>
                <w:color w:val="auto"/>
              </w:rPr>
            </w:pPr>
          </w:p>
        </w:tc>
        <w:tc>
          <w:tcPr>
            <w:tcW w:w="1140" w:type="dxa"/>
            <w:vAlign w:val="bottom"/>
            <w:tcBorders>
              <w:top w:val="single" w:sz="8" w:color="005BA5"/>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180"/>
              <w:spacing w:after="0"/>
              <w:rPr>
                <w:sz w:val="20"/>
                <w:szCs w:val="20"/>
                <w:color w:val="auto"/>
              </w:rPr>
            </w:pPr>
            <w:r>
              <w:rPr>
                <w:rFonts w:ascii="Arial" w:cs="Arial" w:eastAsia="Arial" w:hAnsi="Arial"/>
                <w:sz w:val="14"/>
                <w:szCs w:val="14"/>
                <w:color w:val="auto"/>
              </w:rPr>
              <w:t>Fixed income securities:</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020" w:type="dxa"/>
            <w:vAlign w:val="bottom"/>
            <w:tcBorders>
              <w:bottom w:val="single" w:sz="8" w:color="ACACAC"/>
            </w:tcBorders>
          </w:tcPr>
          <w:p>
            <w:pPr>
              <w:spacing w:after="0"/>
              <w:rPr>
                <w:sz w:val="21"/>
                <w:szCs w:val="21"/>
                <w:color w:val="auto"/>
              </w:rPr>
            </w:pPr>
          </w:p>
        </w:tc>
        <w:tc>
          <w:tcPr>
            <w:tcW w:w="40" w:type="dxa"/>
            <w:vAlign w:val="bottom"/>
            <w:tcBorders>
              <w:bottom w:val="single" w:sz="8" w:color="ACACAC"/>
            </w:tcBorders>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340" w:type="dxa"/>
            <w:vAlign w:val="bottom"/>
            <w:tcBorders>
              <w:bottom w:val="single" w:sz="8" w:color="ACACAC"/>
            </w:tcBorders>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80" w:type="dxa"/>
            <w:vAlign w:val="bottom"/>
            <w:tcBorders>
              <w:bottom w:val="single" w:sz="8" w:color="ACACAC"/>
            </w:tcBorders>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280"/>
              <w:spacing w:after="0"/>
              <w:rPr>
                <w:sz w:val="20"/>
                <w:szCs w:val="20"/>
                <w:color w:val="auto"/>
              </w:rPr>
            </w:pPr>
            <w:r>
              <w:rPr>
                <w:rFonts w:ascii="Arial" w:cs="Arial" w:eastAsia="Arial" w:hAnsi="Arial"/>
                <w:sz w:val="14"/>
                <w:szCs w:val="14"/>
                <w:color w:val="auto"/>
              </w:rPr>
              <w:t>U.S. government and agencies</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ind w:left="20"/>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CACAC"/>
            </w:tcBorders>
            <w:gridSpan w:val="4"/>
          </w:tcPr>
          <w:p>
            <w:pPr>
              <w:jc w:val="right"/>
              <w:ind w:right="59"/>
              <w:spacing w:after="0"/>
              <w:rPr>
                <w:sz w:val="20"/>
                <w:szCs w:val="20"/>
                <w:color w:val="auto"/>
              </w:rPr>
            </w:pPr>
            <w:r>
              <w:rPr>
                <w:rFonts w:ascii="Arial" w:cs="Arial" w:eastAsia="Arial" w:hAnsi="Arial"/>
                <w:sz w:val="14"/>
                <w:szCs w:val="14"/>
                <w:color w:val="auto"/>
              </w:rPr>
              <w:t>5,085</w:t>
            </w:r>
          </w:p>
        </w:tc>
        <w:tc>
          <w:tcPr>
            <w:tcW w:w="100" w:type="dxa"/>
            <w:vAlign w:val="bottom"/>
          </w:tcPr>
          <w:p>
            <w:pPr>
              <w:spacing w:after="0"/>
              <w:rPr>
                <w:sz w:val="21"/>
                <w:szCs w:val="21"/>
                <w:color w:val="auto"/>
              </w:rPr>
            </w:pPr>
          </w:p>
        </w:tc>
        <w:tc>
          <w:tcPr>
            <w:tcW w:w="740" w:type="dxa"/>
            <w:vAlign w:val="bottom"/>
            <w:tcBorders>
              <w:bottom w:val="single" w:sz="8" w:color="ACACAC"/>
            </w:tcBorders>
          </w:tcPr>
          <w:p>
            <w:pPr>
              <w:jc w:val="right"/>
              <w:ind w:right="566"/>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rPr>
              <w:t>432</w:t>
            </w: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CACA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CACAC"/>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5,517</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280"/>
              <w:spacing w:after="0"/>
              <w:rPr>
                <w:sz w:val="20"/>
                <w:szCs w:val="20"/>
                <w:color w:val="auto"/>
              </w:rPr>
            </w:pPr>
            <w:r>
              <w:rPr>
                <w:rFonts w:ascii="Arial" w:cs="Arial" w:eastAsia="Arial" w:hAnsi="Arial"/>
                <w:sz w:val="14"/>
                <w:szCs w:val="14"/>
                <w:color w:val="auto"/>
              </w:rPr>
              <w:t>Municipal</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020" w:type="dxa"/>
            <w:vAlign w:val="bottom"/>
            <w:tcBorders>
              <w:bottom w:val="single" w:sz="8" w:color="ACACAC"/>
            </w:tcBorders>
          </w:tcPr>
          <w:p>
            <w:pPr>
              <w:spacing w:after="0"/>
              <w:rPr>
                <w:sz w:val="21"/>
                <w:szCs w:val="21"/>
                <w:color w:val="auto"/>
              </w:rPr>
            </w:pPr>
          </w:p>
        </w:tc>
        <w:tc>
          <w:tcPr>
            <w:tcW w:w="40" w:type="dxa"/>
            <w:vAlign w:val="bottom"/>
            <w:tcBorders>
              <w:bottom w:val="single" w:sz="8" w:color="ACACAC"/>
            </w:tcBorders>
          </w:tcPr>
          <w:p>
            <w:pPr>
              <w:spacing w:after="0"/>
              <w:rPr>
                <w:sz w:val="21"/>
                <w:szCs w:val="21"/>
                <w:color w:val="auto"/>
              </w:rPr>
            </w:pPr>
          </w:p>
        </w:tc>
        <w:tc>
          <w:tcPr>
            <w:tcW w:w="320" w:type="dxa"/>
            <w:vAlign w:val="bottom"/>
            <w:tcBorders>
              <w:bottom w:val="single" w:sz="8" w:color="ACACAC"/>
            </w:tcBorders>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rPr>
              <w:t>9,099</w:t>
            </w: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8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70</w:t>
            </w:r>
          </w:p>
        </w:tc>
        <w:tc>
          <w:tcPr>
            <w:tcW w:w="20" w:type="dxa"/>
            <w:vAlign w:val="bottom"/>
            <w:tcBorders>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9,169</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280"/>
              <w:spacing w:after="0"/>
              <w:rPr>
                <w:sz w:val="20"/>
                <w:szCs w:val="20"/>
                <w:color w:val="auto"/>
              </w:rPr>
            </w:pPr>
            <w:r>
              <w:rPr>
                <w:rFonts w:ascii="Arial" w:cs="Arial" w:eastAsia="Arial" w:hAnsi="Arial"/>
                <w:sz w:val="14"/>
                <w:szCs w:val="14"/>
                <w:color w:val="auto"/>
              </w:rPr>
              <w:t>Corporate - public</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020" w:type="dxa"/>
            <w:vAlign w:val="bottom"/>
            <w:tcBorders>
              <w:bottom w:val="single" w:sz="8" w:color="ACACAC"/>
            </w:tcBorders>
          </w:tcPr>
          <w:p>
            <w:pPr>
              <w:spacing w:after="0"/>
              <w:rPr>
                <w:sz w:val="21"/>
                <w:szCs w:val="21"/>
                <w:color w:val="auto"/>
              </w:rPr>
            </w:pPr>
          </w:p>
        </w:tc>
        <w:tc>
          <w:tcPr>
            <w:tcW w:w="40" w:type="dxa"/>
            <w:vAlign w:val="bottom"/>
            <w:tcBorders>
              <w:bottom w:val="single" w:sz="8" w:color="ACACAC"/>
            </w:tcBorders>
          </w:tcPr>
          <w:p>
            <w:pPr>
              <w:spacing w:after="0"/>
              <w:rPr>
                <w:sz w:val="21"/>
                <w:szCs w:val="21"/>
                <w:color w:val="auto"/>
              </w:rPr>
            </w:pPr>
          </w:p>
        </w:tc>
        <w:tc>
          <w:tcPr>
            <w:tcW w:w="320" w:type="dxa"/>
            <w:vAlign w:val="bottom"/>
            <w:tcBorders>
              <w:bottom w:val="single" w:sz="8" w:color="ACACAC"/>
            </w:tcBorders>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w w:val="88"/>
              </w:rPr>
              <w:t>29,200</w:t>
            </w: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8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70</w:t>
            </w:r>
          </w:p>
        </w:tc>
        <w:tc>
          <w:tcPr>
            <w:tcW w:w="20" w:type="dxa"/>
            <w:vAlign w:val="bottom"/>
            <w:tcBorders>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29,270</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CACAC"/>
            </w:tcBorders>
            <w:gridSpan w:val="2"/>
          </w:tcPr>
          <w:p>
            <w:pPr>
              <w:ind w:left="280"/>
              <w:spacing w:after="0"/>
              <w:rPr>
                <w:sz w:val="20"/>
                <w:szCs w:val="20"/>
                <w:color w:val="auto"/>
              </w:rPr>
            </w:pPr>
            <w:r>
              <w:rPr>
                <w:rFonts w:ascii="Arial" w:cs="Arial" w:eastAsia="Arial" w:hAnsi="Arial"/>
                <w:sz w:val="14"/>
                <w:szCs w:val="14"/>
                <w:color w:val="auto"/>
              </w:rPr>
              <w:t>Corporate - privately placed</w:t>
            </w:r>
          </w:p>
        </w:tc>
        <w:tc>
          <w:tcPr>
            <w:tcW w:w="100" w:type="dxa"/>
            <w:vAlign w:val="bottom"/>
            <w:tcBorders>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CACAC"/>
            </w:tcBorders>
          </w:tcPr>
          <w:p>
            <w:pPr>
              <w:spacing w:after="0"/>
              <w:rPr>
                <w:sz w:val="22"/>
                <w:szCs w:val="22"/>
                <w:color w:val="auto"/>
              </w:rPr>
            </w:pPr>
          </w:p>
        </w:tc>
        <w:tc>
          <w:tcPr>
            <w:tcW w:w="1020" w:type="dxa"/>
            <w:vAlign w:val="bottom"/>
            <w:tcBorders>
              <w:bottom w:val="single" w:sz="8" w:color="ACACAC"/>
            </w:tcBorders>
          </w:tcPr>
          <w:p>
            <w:pPr>
              <w:spacing w:after="0"/>
              <w:rPr>
                <w:sz w:val="22"/>
                <w:szCs w:val="22"/>
                <w:color w:val="auto"/>
              </w:rPr>
            </w:pPr>
          </w:p>
        </w:tc>
        <w:tc>
          <w:tcPr>
            <w:tcW w:w="40" w:type="dxa"/>
            <w:vAlign w:val="bottom"/>
            <w:tcBorders>
              <w:bottom w:val="single" w:sz="8" w:color="ACACAC"/>
            </w:tcBorders>
          </w:tcPr>
          <w:p>
            <w:pPr>
              <w:spacing w:after="0"/>
              <w:rPr>
                <w:sz w:val="22"/>
                <w:szCs w:val="22"/>
                <w:color w:val="auto"/>
              </w:rPr>
            </w:pPr>
          </w:p>
        </w:tc>
        <w:tc>
          <w:tcPr>
            <w:tcW w:w="320" w:type="dxa"/>
            <w:vAlign w:val="bottom"/>
            <w:tcBorders>
              <w:bottom w:val="single" w:sz="8" w:color="ACACAC"/>
            </w:tcBorders>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w w:val="88"/>
              </w:rPr>
              <w:t>10,776</w:t>
            </w:r>
          </w:p>
        </w:tc>
        <w:tc>
          <w:tcPr>
            <w:tcW w:w="12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CACAC"/>
            </w:tcBorders>
          </w:tcPr>
          <w:p>
            <w:pPr>
              <w:spacing w:after="0"/>
              <w:rPr>
                <w:sz w:val="22"/>
                <w:szCs w:val="22"/>
                <w:color w:val="auto"/>
              </w:rPr>
            </w:pPr>
          </w:p>
        </w:tc>
        <w:tc>
          <w:tcPr>
            <w:tcW w:w="128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90</w:t>
            </w:r>
          </w:p>
        </w:tc>
        <w:tc>
          <w:tcPr>
            <w:tcW w:w="20" w:type="dxa"/>
            <w:vAlign w:val="bottom"/>
            <w:tcBorders>
              <w:bottom w:val="single" w:sz="8" w:color="ACACAC"/>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CACAC"/>
            </w:tcBorders>
          </w:tcPr>
          <w:p>
            <w:pPr>
              <w:spacing w:after="0"/>
              <w:rPr>
                <w:sz w:val="22"/>
                <w:szCs w:val="22"/>
                <w:color w:val="auto"/>
              </w:rPr>
            </w:pPr>
          </w:p>
        </w:tc>
        <w:tc>
          <w:tcPr>
            <w:tcW w:w="220" w:type="dxa"/>
            <w:vAlign w:val="bottom"/>
            <w:tcBorders>
              <w:bottom w:val="single" w:sz="8" w:color="ACACAC"/>
            </w:tcBorders>
          </w:tcPr>
          <w:p>
            <w:pPr>
              <w:spacing w:after="0"/>
              <w:rPr>
                <w:sz w:val="22"/>
                <w:szCs w:val="22"/>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10,866</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280"/>
              <w:spacing w:after="0"/>
              <w:rPr>
                <w:sz w:val="20"/>
                <w:szCs w:val="20"/>
                <w:color w:val="auto"/>
              </w:rPr>
            </w:pPr>
            <w:r>
              <w:rPr>
                <w:rFonts w:ascii="Arial" w:cs="Arial" w:eastAsia="Arial" w:hAnsi="Arial"/>
                <w:sz w:val="14"/>
                <w:szCs w:val="14"/>
                <w:color w:val="auto"/>
              </w:rPr>
              <w:t>Foreign government</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020" w:type="dxa"/>
            <w:vAlign w:val="bottom"/>
            <w:tcBorders>
              <w:bottom w:val="single" w:sz="8" w:color="ACACAC"/>
            </w:tcBorders>
          </w:tcPr>
          <w:p>
            <w:pPr>
              <w:spacing w:after="0"/>
              <w:rPr>
                <w:sz w:val="21"/>
                <w:szCs w:val="21"/>
                <w:color w:val="auto"/>
              </w:rPr>
            </w:pPr>
          </w:p>
        </w:tc>
        <w:tc>
          <w:tcPr>
            <w:tcW w:w="40" w:type="dxa"/>
            <w:vAlign w:val="bottom"/>
            <w:tcBorders>
              <w:bottom w:val="single" w:sz="8" w:color="ACACAC"/>
            </w:tcBorders>
          </w:tcPr>
          <w:p>
            <w:pPr>
              <w:spacing w:after="0"/>
              <w:rPr>
                <w:sz w:val="21"/>
                <w:szCs w:val="21"/>
                <w:color w:val="auto"/>
              </w:rPr>
            </w:pPr>
          </w:p>
        </w:tc>
        <w:tc>
          <w:tcPr>
            <w:tcW w:w="320" w:type="dxa"/>
            <w:vAlign w:val="bottom"/>
            <w:tcBorders>
              <w:bottom w:val="single" w:sz="8" w:color="ACACAC"/>
            </w:tcBorders>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rPr>
              <w:t>747</w:t>
            </w: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280"/>
              <w:spacing w:after="0"/>
              <w:rPr>
                <w:sz w:val="20"/>
                <w:szCs w:val="20"/>
                <w:color w:val="auto"/>
              </w:rPr>
            </w:pPr>
            <w:r>
              <w:rPr>
                <w:rFonts w:ascii="Arial" w:cs="Arial" w:eastAsia="Arial" w:hAnsi="Arial"/>
                <w:sz w:val="14"/>
                <w:szCs w:val="14"/>
                <w:color w:val="auto"/>
              </w:rPr>
              <w:t>ABS - CDO</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020" w:type="dxa"/>
            <w:vAlign w:val="bottom"/>
            <w:tcBorders>
              <w:bottom w:val="single" w:sz="8" w:color="ACACAC"/>
            </w:tcBorders>
          </w:tcPr>
          <w:p>
            <w:pPr>
              <w:spacing w:after="0"/>
              <w:rPr>
                <w:sz w:val="21"/>
                <w:szCs w:val="21"/>
                <w:color w:val="auto"/>
              </w:rPr>
            </w:pPr>
          </w:p>
        </w:tc>
        <w:tc>
          <w:tcPr>
            <w:tcW w:w="40" w:type="dxa"/>
            <w:vAlign w:val="bottom"/>
            <w:tcBorders>
              <w:bottom w:val="single" w:sz="8" w:color="ACACAC"/>
            </w:tcBorders>
          </w:tcPr>
          <w:p>
            <w:pPr>
              <w:spacing w:after="0"/>
              <w:rPr>
                <w:sz w:val="21"/>
                <w:szCs w:val="21"/>
                <w:color w:val="auto"/>
              </w:rPr>
            </w:pPr>
          </w:p>
        </w:tc>
        <w:tc>
          <w:tcPr>
            <w:tcW w:w="320" w:type="dxa"/>
            <w:vAlign w:val="bottom"/>
            <w:tcBorders>
              <w:bottom w:val="single" w:sz="8" w:color="ACACAC"/>
            </w:tcBorders>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8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6</w:t>
            </w:r>
          </w:p>
        </w:tc>
        <w:tc>
          <w:tcPr>
            <w:tcW w:w="20" w:type="dxa"/>
            <w:vAlign w:val="bottom"/>
            <w:tcBorders>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CACAC"/>
            </w:tcBorders>
            <w:gridSpan w:val="2"/>
          </w:tcPr>
          <w:p>
            <w:pPr>
              <w:ind w:left="280"/>
              <w:spacing w:after="0"/>
              <w:rPr>
                <w:sz w:val="20"/>
                <w:szCs w:val="20"/>
                <w:color w:val="auto"/>
              </w:rPr>
            </w:pPr>
            <w:r>
              <w:rPr>
                <w:rFonts w:ascii="Arial" w:cs="Arial" w:eastAsia="Arial" w:hAnsi="Arial"/>
                <w:sz w:val="14"/>
                <w:szCs w:val="14"/>
                <w:color w:val="auto"/>
              </w:rPr>
              <w:t>ABS - consumer and other</w:t>
            </w:r>
          </w:p>
        </w:tc>
        <w:tc>
          <w:tcPr>
            <w:tcW w:w="100" w:type="dxa"/>
            <w:vAlign w:val="bottom"/>
            <w:tcBorders>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CACAC"/>
            </w:tcBorders>
          </w:tcPr>
          <w:p>
            <w:pPr>
              <w:spacing w:after="0"/>
              <w:rPr>
                <w:sz w:val="22"/>
                <w:szCs w:val="22"/>
                <w:color w:val="auto"/>
              </w:rPr>
            </w:pPr>
          </w:p>
        </w:tc>
        <w:tc>
          <w:tcPr>
            <w:tcW w:w="1020" w:type="dxa"/>
            <w:vAlign w:val="bottom"/>
            <w:tcBorders>
              <w:bottom w:val="single" w:sz="8" w:color="ACACAC"/>
            </w:tcBorders>
          </w:tcPr>
          <w:p>
            <w:pPr>
              <w:spacing w:after="0"/>
              <w:rPr>
                <w:sz w:val="22"/>
                <w:szCs w:val="22"/>
                <w:color w:val="auto"/>
              </w:rPr>
            </w:pPr>
          </w:p>
        </w:tc>
        <w:tc>
          <w:tcPr>
            <w:tcW w:w="40" w:type="dxa"/>
            <w:vAlign w:val="bottom"/>
            <w:tcBorders>
              <w:bottom w:val="single" w:sz="8" w:color="ACACAC"/>
            </w:tcBorders>
          </w:tcPr>
          <w:p>
            <w:pPr>
              <w:spacing w:after="0"/>
              <w:rPr>
                <w:sz w:val="22"/>
                <w:szCs w:val="22"/>
                <w:color w:val="auto"/>
              </w:rPr>
            </w:pPr>
          </w:p>
        </w:tc>
        <w:tc>
          <w:tcPr>
            <w:tcW w:w="320" w:type="dxa"/>
            <w:vAlign w:val="bottom"/>
            <w:tcBorders>
              <w:bottom w:val="single" w:sz="8" w:color="ACACAC"/>
            </w:tcBorders>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40" w:type="dxa"/>
            <w:vAlign w:val="bottom"/>
            <w:tcBorders>
              <w:bottom w:val="single" w:sz="8" w:color="ACACAC"/>
            </w:tcBorders>
          </w:tcPr>
          <w:p>
            <w:pPr>
              <w:spacing w:after="0"/>
              <w:rPr>
                <w:sz w:val="22"/>
                <w:szCs w:val="22"/>
                <w:color w:val="auto"/>
              </w:rPr>
            </w:pP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rPr>
              <w:t>713</w:t>
            </w:r>
          </w:p>
        </w:tc>
        <w:tc>
          <w:tcPr>
            <w:tcW w:w="12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CACAC"/>
            </w:tcBorders>
          </w:tcPr>
          <w:p>
            <w:pPr>
              <w:spacing w:after="0"/>
              <w:rPr>
                <w:sz w:val="22"/>
                <w:szCs w:val="22"/>
                <w:color w:val="auto"/>
              </w:rPr>
            </w:pPr>
          </w:p>
        </w:tc>
        <w:tc>
          <w:tcPr>
            <w:tcW w:w="128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63</w:t>
            </w:r>
          </w:p>
        </w:tc>
        <w:tc>
          <w:tcPr>
            <w:tcW w:w="20" w:type="dxa"/>
            <w:vAlign w:val="bottom"/>
            <w:tcBorders>
              <w:bottom w:val="single" w:sz="8" w:color="ACACAC"/>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CACAC"/>
            </w:tcBorders>
          </w:tcPr>
          <w:p>
            <w:pPr>
              <w:spacing w:after="0"/>
              <w:rPr>
                <w:sz w:val="22"/>
                <w:szCs w:val="22"/>
                <w:color w:val="auto"/>
              </w:rPr>
            </w:pPr>
          </w:p>
        </w:tc>
        <w:tc>
          <w:tcPr>
            <w:tcW w:w="118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CACAC"/>
            </w:tcBorders>
          </w:tcPr>
          <w:p>
            <w:pPr>
              <w:spacing w:after="0"/>
              <w:rPr>
                <w:sz w:val="22"/>
                <w:szCs w:val="22"/>
                <w:color w:val="auto"/>
              </w:rPr>
            </w:pPr>
          </w:p>
        </w:tc>
        <w:tc>
          <w:tcPr>
            <w:tcW w:w="220" w:type="dxa"/>
            <w:vAlign w:val="bottom"/>
            <w:tcBorders>
              <w:bottom w:val="single" w:sz="8" w:color="ACACAC"/>
            </w:tcBorders>
          </w:tcPr>
          <w:p>
            <w:pPr>
              <w:spacing w:after="0"/>
              <w:rPr>
                <w:sz w:val="22"/>
                <w:szCs w:val="22"/>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776</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280"/>
              <w:spacing w:after="0"/>
              <w:rPr>
                <w:sz w:val="20"/>
                <w:szCs w:val="20"/>
                <w:color w:val="auto"/>
              </w:rPr>
            </w:pPr>
            <w:r>
              <w:rPr>
                <w:rFonts w:ascii="Arial" w:cs="Arial" w:eastAsia="Arial" w:hAnsi="Arial"/>
                <w:sz w:val="14"/>
                <w:szCs w:val="14"/>
                <w:color w:val="auto"/>
              </w:rPr>
              <w:t>RMBS</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020" w:type="dxa"/>
            <w:vAlign w:val="bottom"/>
            <w:tcBorders>
              <w:bottom w:val="single" w:sz="8" w:color="ACACAC"/>
            </w:tcBorders>
          </w:tcPr>
          <w:p>
            <w:pPr>
              <w:spacing w:after="0"/>
              <w:rPr>
                <w:sz w:val="21"/>
                <w:szCs w:val="21"/>
                <w:color w:val="auto"/>
              </w:rPr>
            </w:pPr>
          </w:p>
        </w:tc>
        <w:tc>
          <w:tcPr>
            <w:tcW w:w="40" w:type="dxa"/>
            <w:vAlign w:val="bottom"/>
            <w:tcBorders>
              <w:bottom w:val="single" w:sz="8" w:color="ACACAC"/>
            </w:tcBorders>
          </w:tcPr>
          <w:p>
            <w:pPr>
              <w:spacing w:after="0"/>
              <w:rPr>
                <w:sz w:val="21"/>
                <w:szCs w:val="21"/>
                <w:color w:val="auto"/>
              </w:rPr>
            </w:pPr>
          </w:p>
        </w:tc>
        <w:tc>
          <w:tcPr>
            <w:tcW w:w="320" w:type="dxa"/>
            <w:vAlign w:val="bottom"/>
            <w:tcBorders>
              <w:bottom w:val="single" w:sz="8" w:color="ACACAC"/>
            </w:tcBorders>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rPr>
              <w:t>464</w:t>
            </w: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280"/>
              <w:spacing w:after="0"/>
              <w:rPr>
                <w:sz w:val="20"/>
                <w:szCs w:val="20"/>
                <w:color w:val="auto"/>
              </w:rPr>
            </w:pPr>
            <w:r>
              <w:rPr>
                <w:rFonts w:ascii="Arial" w:cs="Arial" w:eastAsia="Arial" w:hAnsi="Arial"/>
                <w:sz w:val="14"/>
                <w:szCs w:val="14"/>
                <w:color w:val="auto"/>
              </w:rPr>
              <w:t>CMBS</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020" w:type="dxa"/>
            <w:vAlign w:val="bottom"/>
            <w:tcBorders>
              <w:bottom w:val="single" w:sz="8" w:color="ACACAC"/>
            </w:tcBorders>
          </w:tcPr>
          <w:p>
            <w:pPr>
              <w:spacing w:after="0"/>
              <w:rPr>
                <w:sz w:val="21"/>
                <w:szCs w:val="21"/>
                <w:color w:val="auto"/>
              </w:rPr>
            </w:pPr>
          </w:p>
        </w:tc>
        <w:tc>
          <w:tcPr>
            <w:tcW w:w="40" w:type="dxa"/>
            <w:vAlign w:val="bottom"/>
            <w:tcBorders>
              <w:bottom w:val="single" w:sz="8" w:color="ACACAC"/>
            </w:tcBorders>
          </w:tcPr>
          <w:p>
            <w:pPr>
              <w:spacing w:after="0"/>
              <w:rPr>
                <w:sz w:val="21"/>
                <w:szCs w:val="21"/>
                <w:color w:val="auto"/>
              </w:rPr>
            </w:pPr>
          </w:p>
        </w:tc>
        <w:tc>
          <w:tcPr>
            <w:tcW w:w="320" w:type="dxa"/>
            <w:vAlign w:val="bottom"/>
            <w:tcBorders>
              <w:bottom w:val="single" w:sz="8" w:color="ACACAC"/>
            </w:tcBorders>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rPr>
              <w:t>44</w:t>
            </w: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8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26</w:t>
            </w:r>
          </w:p>
        </w:tc>
        <w:tc>
          <w:tcPr>
            <w:tcW w:w="20" w:type="dxa"/>
            <w:vAlign w:val="bottom"/>
            <w:tcBorders>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50"/>
        </w:trPr>
        <w:tc>
          <w:tcPr>
            <w:tcW w:w="3900" w:type="dxa"/>
            <w:vAlign w:val="bottom"/>
            <w:gridSpan w:val="2"/>
          </w:tcPr>
          <w:p>
            <w:pPr>
              <w:ind w:left="280"/>
              <w:spacing w:after="0"/>
              <w:rPr>
                <w:sz w:val="20"/>
                <w:szCs w:val="20"/>
                <w:color w:val="auto"/>
              </w:rPr>
            </w:pPr>
            <w:r>
              <w:rPr>
                <w:rFonts w:ascii="Arial" w:cs="Arial" w:eastAsia="Arial" w:hAnsi="Arial"/>
                <w:sz w:val="14"/>
                <w:szCs w:val="14"/>
                <w:color w:val="auto"/>
              </w:rPr>
              <w:t>Redeemable preferred stock</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21"/>
                <w:szCs w:val="21"/>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67"/>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0"/>
        </w:trPr>
        <w:tc>
          <w:tcPr>
            <w:tcW w:w="3900" w:type="dxa"/>
            <w:vAlign w:val="bottom"/>
            <w:tcBorders>
              <w:top w:val="single" w:sz="8" w:color="005BA5"/>
              <w:bottom w:val="single" w:sz="8" w:color="ACACAC"/>
            </w:tcBorders>
            <w:gridSpan w:val="2"/>
          </w:tcPr>
          <w:p>
            <w:pPr>
              <w:ind w:left="380"/>
              <w:spacing w:after="0"/>
              <w:rPr>
                <w:sz w:val="20"/>
                <w:szCs w:val="20"/>
                <w:color w:val="auto"/>
              </w:rPr>
            </w:pPr>
            <w:r>
              <w:rPr>
                <w:rFonts w:ascii="Arial" w:cs="Arial" w:eastAsia="Arial" w:hAnsi="Arial"/>
                <w:sz w:val="14"/>
                <w:szCs w:val="14"/>
                <w:b w:val="1"/>
                <w:bCs w:val="1"/>
                <w:color w:val="auto"/>
              </w:rPr>
              <w:t>Total fixed income securities</w:t>
            </w:r>
          </w:p>
        </w:tc>
        <w:tc>
          <w:tcPr>
            <w:tcW w:w="100" w:type="dxa"/>
            <w:vAlign w:val="bottom"/>
            <w:tcBorders>
              <w:top w:val="single" w:sz="8" w:color="005BA5"/>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005BA5"/>
              <w:bottom w:val="single" w:sz="8" w:color="ACACAC"/>
            </w:tcBorders>
          </w:tcPr>
          <w:p>
            <w:pPr>
              <w:spacing w:after="0"/>
              <w:rPr>
                <w:sz w:val="21"/>
                <w:szCs w:val="21"/>
                <w:color w:val="auto"/>
              </w:rPr>
            </w:pPr>
          </w:p>
        </w:tc>
        <w:tc>
          <w:tcPr>
            <w:tcW w:w="1380" w:type="dxa"/>
            <w:vAlign w:val="bottom"/>
            <w:tcBorders>
              <w:top w:val="single" w:sz="8" w:color="005BA5"/>
              <w:bottom w:val="single" w:sz="8" w:color="ACACAC"/>
            </w:tcBorders>
            <w:gridSpan w:val="4"/>
          </w:tcPr>
          <w:p>
            <w:pPr>
              <w:jc w:val="right"/>
              <w:ind w:right="59"/>
              <w:spacing w:after="0"/>
              <w:rPr>
                <w:sz w:val="20"/>
                <w:szCs w:val="20"/>
                <w:color w:val="auto"/>
              </w:rPr>
            </w:pPr>
            <w:r>
              <w:rPr>
                <w:rFonts w:ascii="Arial" w:cs="Arial" w:eastAsia="Arial" w:hAnsi="Arial"/>
                <w:sz w:val="14"/>
                <w:szCs w:val="14"/>
                <w:b w:val="1"/>
                <w:bCs w:val="1"/>
                <w:color w:val="auto"/>
              </w:rPr>
              <w:t>5,085</w:t>
            </w:r>
          </w:p>
        </w:tc>
        <w:tc>
          <w:tcPr>
            <w:tcW w:w="100" w:type="dxa"/>
            <w:vAlign w:val="bottom"/>
          </w:tcPr>
          <w:p>
            <w:pPr>
              <w:spacing w:after="0"/>
              <w:rPr>
                <w:sz w:val="21"/>
                <w:szCs w:val="21"/>
                <w:color w:val="auto"/>
              </w:rPr>
            </w:pPr>
          </w:p>
        </w:tc>
        <w:tc>
          <w:tcPr>
            <w:tcW w:w="740" w:type="dxa"/>
            <w:vAlign w:val="bottom"/>
            <w:tcBorders>
              <w:top w:val="single" w:sz="8" w:color="005BA5"/>
              <w:bottom w:val="single" w:sz="8" w:color="ACACAC"/>
            </w:tcBorders>
          </w:tcPr>
          <w:p>
            <w:pPr>
              <w:spacing w:after="0"/>
              <w:rPr>
                <w:sz w:val="21"/>
                <w:szCs w:val="21"/>
                <w:color w:val="auto"/>
              </w:rPr>
            </w:pPr>
          </w:p>
        </w:tc>
        <w:tc>
          <w:tcPr>
            <w:tcW w:w="440" w:type="dxa"/>
            <w:vAlign w:val="bottom"/>
            <w:tcBorders>
              <w:top w:val="single" w:sz="8" w:color="005BA5"/>
              <w:bottom w:val="single" w:sz="8" w:color="ACACAC"/>
            </w:tcBorders>
            <w:gridSpan w:val="2"/>
          </w:tcPr>
          <w:p>
            <w:pPr>
              <w:jc w:val="right"/>
              <w:ind w:right="40"/>
              <w:spacing w:after="0"/>
              <w:rPr>
                <w:sz w:val="20"/>
                <w:szCs w:val="20"/>
                <w:color w:val="auto"/>
              </w:rPr>
            </w:pPr>
            <w:r>
              <w:rPr>
                <w:rFonts w:ascii="Arial" w:cs="Arial" w:eastAsia="Arial" w:hAnsi="Arial"/>
                <w:sz w:val="14"/>
                <w:szCs w:val="14"/>
                <w:b w:val="1"/>
                <w:bCs w:val="1"/>
                <w:color w:val="auto"/>
                <w:w w:val="88"/>
              </w:rPr>
              <w:t>51,760</w:t>
            </w:r>
          </w:p>
        </w:tc>
        <w:tc>
          <w:tcPr>
            <w:tcW w:w="120" w:type="dxa"/>
            <w:vAlign w:val="bottom"/>
            <w:tcBorders>
              <w:top w:val="single" w:sz="8" w:color="005BA5"/>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005BA5"/>
              <w:bottom w:val="single" w:sz="8" w:color="ACACAC"/>
            </w:tcBorders>
          </w:tcPr>
          <w:p>
            <w:pPr>
              <w:spacing w:after="0"/>
              <w:rPr>
                <w:sz w:val="21"/>
                <w:szCs w:val="21"/>
                <w:color w:val="auto"/>
              </w:rPr>
            </w:pPr>
          </w:p>
        </w:tc>
        <w:tc>
          <w:tcPr>
            <w:tcW w:w="1280" w:type="dxa"/>
            <w:vAlign w:val="bottom"/>
            <w:tcBorders>
              <w:top w:val="single" w:sz="8" w:color="005BA5"/>
              <w:bottom w:val="single" w:sz="8" w:color="ACACAC"/>
            </w:tcBorders>
          </w:tcPr>
          <w:p>
            <w:pPr>
              <w:jc w:val="right"/>
              <w:ind w:right="67"/>
              <w:spacing w:after="0"/>
              <w:rPr>
                <w:sz w:val="20"/>
                <w:szCs w:val="20"/>
                <w:color w:val="auto"/>
              </w:rPr>
            </w:pPr>
            <w:r>
              <w:rPr>
                <w:rFonts w:ascii="Arial" w:cs="Arial" w:eastAsia="Arial" w:hAnsi="Arial"/>
                <w:sz w:val="14"/>
                <w:szCs w:val="14"/>
                <w:b w:val="1"/>
                <w:bCs w:val="1"/>
                <w:color w:val="auto"/>
              </w:rPr>
              <w:t>325</w:t>
            </w:r>
          </w:p>
        </w:tc>
        <w:tc>
          <w:tcPr>
            <w:tcW w:w="20" w:type="dxa"/>
            <w:vAlign w:val="bottom"/>
            <w:tcBorders>
              <w:top w:val="single" w:sz="8" w:color="005BA5"/>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005BA5"/>
              <w:bottom w:val="single" w:sz="8" w:color="ACACAC"/>
            </w:tcBorders>
          </w:tcPr>
          <w:p>
            <w:pPr>
              <w:spacing w:after="0"/>
              <w:rPr>
                <w:sz w:val="21"/>
                <w:szCs w:val="21"/>
                <w:color w:val="auto"/>
              </w:rPr>
            </w:pPr>
          </w:p>
        </w:tc>
        <w:tc>
          <w:tcPr>
            <w:tcW w:w="1180" w:type="dxa"/>
            <w:vAlign w:val="bottom"/>
            <w:tcBorders>
              <w:top w:val="single" w:sz="8" w:color="005BA5"/>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top w:val="single" w:sz="8" w:color="005BA5"/>
              <w:bottom w:val="single" w:sz="8" w:color="ACACAC"/>
            </w:tcBorders>
          </w:tcPr>
          <w:p>
            <w:pPr>
              <w:spacing w:after="0"/>
              <w:rPr>
                <w:sz w:val="21"/>
                <w:szCs w:val="21"/>
                <w:color w:val="auto"/>
              </w:rPr>
            </w:pPr>
          </w:p>
        </w:tc>
        <w:tc>
          <w:tcPr>
            <w:tcW w:w="220" w:type="dxa"/>
            <w:vAlign w:val="bottom"/>
            <w:tcBorders>
              <w:top w:val="single" w:sz="8" w:color="005BA5"/>
              <w:bottom w:val="single" w:sz="8" w:color="ACACAC"/>
            </w:tcBorders>
          </w:tcPr>
          <w:p>
            <w:pPr>
              <w:spacing w:after="0"/>
              <w:rPr>
                <w:sz w:val="21"/>
                <w:szCs w:val="21"/>
                <w:color w:val="auto"/>
              </w:rPr>
            </w:pPr>
          </w:p>
        </w:tc>
        <w:tc>
          <w:tcPr>
            <w:tcW w:w="1140" w:type="dxa"/>
            <w:vAlign w:val="bottom"/>
            <w:tcBorders>
              <w:top w:val="single" w:sz="8" w:color="005BA5"/>
              <w:bottom w:val="single" w:sz="8" w:color="ACACAC"/>
            </w:tcBorders>
          </w:tcPr>
          <w:p>
            <w:pPr>
              <w:jc w:val="right"/>
              <w:ind w:right="67"/>
              <w:spacing w:after="0"/>
              <w:rPr>
                <w:sz w:val="20"/>
                <w:szCs w:val="20"/>
                <w:color w:val="auto"/>
              </w:rPr>
            </w:pPr>
            <w:r>
              <w:rPr>
                <w:rFonts w:ascii="Arial" w:cs="Arial" w:eastAsia="Arial" w:hAnsi="Arial"/>
                <w:sz w:val="14"/>
                <w:szCs w:val="14"/>
                <w:b w:val="1"/>
                <w:bCs w:val="1"/>
                <w:color w:val="auto"/>
              </w:rPr>
              <w:t>57,170</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180"/>
              <w:spacing w:after="0"/>
              <w:rPr>
                <w:sz w:val="20"/>
                <w:szCs w:val="20"/>
                <w:color w:val="auto"/>
              </w:rPr>
            </w:pPr>
            <w:r>
              <w:rPr>
                <w:rFonts w:ascii="Arial" w:cs="Arial" w:eastAsia="Arial" w:hAnsi="Arial"/>
                <w:sz w:val="14"/>
                <w:szCs w:val="14"/>
                <w:color w:val="auto"/>
              </w:rPr>
              <w:t>Equity securities</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380" w:type="dxa"/>
            <w:vAlign w:val="bottom"/>
            <w:tcBorders>
              <w:bottom w:val="single" w:sz="8" w:color="ACACAC"/>
            </w:tcBorders>
            <w:gridSpan w:val="4"/>
          </w:tcPr>
          <w:p>
            <w:pPr>
              <w:jc w:val="right"/>
              <w:ind w:right="59"/>
              <w:spacing w:after="0"/>
              <w:rPr>
                <w:sz w:val="20"/>
                <w:szCs w:val="20"/>
                <w:color w:val="auto"/>
              </w:rPr>
            </w:pPr>
            <w:r>
              <w:rPr>
                <w:rFonts w:ascii="Arial" w:cs="Arial" w:eastAsia="Arial" w:hAnsi="Arial"/>
                <w:sz w:val="14"/>
                <w:szCs w:val="14"/>
                <w:color w:val="auto"/>
              </w:rPr>
              <w:t>4,364</w:t>
            </w: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rPr>
              <w:t>331</w:t>
            </w: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8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341</w:t>
            </w:r>
          </w:p>
        </w:tc>
        <w:tc>
          <w:tcPr>
            <w:tcW w:w="20" w:type="dxa"/>
            <w:vAlign w:val="bottom"/>
            <w:tcBorders>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5,036</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180"/>
              <w:spacing w:after="0"/>
              <w:rPr>
                <w:sz w:val="20"/>
                <w:szCs w:val="20"/>
                <w:color w:val="auto"/>
              </w:rPr>
            </w:pPr>
            <w:r>
              <w:rPr>
                <w:rFonts w:ascii="Arial" w:cs="Arial" w:eastAsia="Arial" w:hAnsi="Arial"/>
                <w:sz w:val="14"/>
                <w:szCs w:val="14"/>
                <w:color w:val="auto"/>
              </w:rPr>
              <w:t>Short-term investments</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380" w:type="dxa"/>
            <w:vAlign w:val="bottom"/>
            <w:tcBorders>
              <w:bottom w:val="single" w:sz="8" w:color="ACACAC"/>
            </w:tcBorders>
            <w:gridSpan w:val="4"/>
          </w:tcPr>
          <w:p>
            <w:pPr>
              <w:jc w:val="right"/>
              <w:ind w:right="59"/>
              <w:spacing w:after="0"/>
              <w:rPr>
                <w:sz w:val="20"/>
                <w:szCs w:val="20"/>
                <w:color w:val="auto"/>
              </w:rPr>
            </w:pPr>
            <w:r>
              <w:rPr>
                <w:rFonts w:ascii="Arial" w:cs="Arial" w:eastAsia="Arial" w:hAnsi="Arial"/>
                <w:sz w:val="14"/>
                <w:szCs w:val="14"/>
                <w:color w:val="auto"/>
              </w:rPr>
              <w:t>1,338</w:t>
            </w: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rPr>
              <w:t>1,659</w:t>
            </w: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8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30</w:t>
            </w:r>
          </w:p>
        </w:tc>
        <w:tc>
          <w:tcPr>
            <w:tcW w:w="20" w:type="dxa"/>
            <w:vAlign w:val="bottom"/>
            <w:tcBorders>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3,027</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180"/>
              <w:spacing w:after="0"/>
              <w:rPr>
                <w:sz w:val="20"/>
                <w:szCs w:val="20"/>
                <w:color w:val="auto"/>
              </w:rPr>
            </w:pPr>
            <w:r>
              <w:rPr>
                <w:rFonts w:ascii="Arial" w:cs="Arial" w:eastAsia="Arial" w:hAnsi="Arial"/>
                <w:sz w:val="14"/>
                <w:szCs w:val="14"/>
                <w:color w:val="auto"/>
              </w:rPr>
              <w:t>Other investments: Free-standing derivatives</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020" w:type="dxa"/>
            <w:vAlign w:val="bottom"/>
            <w:tcBorders>
              <w:bottom w:val="single" w:sz="8" w:color="ACACAC"/>
            </w:tcBorders>
          </w:tcPr>
          <w:p>
            <w:pPr>
              <w:spacing w:after="0"/>
              <w:rPr>
                <w:sz w:val="21"/>
                <w:szCs w:val="21"/>
                <w:color w:val="auto"/>
              </w:rPr>
            </w:pPr>
          </w:p>
        </w:tc>
        <w:tc>
          <w:tcPr>
            <w:tcW w:w="40" w:type="dxa"/>
            <w:vAlign w:val="bottom"/>
            <w:tcBorders>
              <w:bottom w:val="single" w:sz="8" w:color="ACACAC"/>
            </w:tcBorders>
          </w:tcPr>
          <w:p>
            <w:pPr>
              <w:spacing w:after="0"/>
              <w:rPr>
                <w:sz w:val="21"/>
                <w:szCs w:val="21"/>
                <w:color w:val="auto"/>
              </w:rPr>
            </w:pPr>
          </w:p>
        </w:tc>
        <w:tc>
          <w:tcPr>
            <w:tcW w:w="320" w:type="dxa"/>
            <w:vAlign w:val="bottom"/>
            <w:tcBorders>
              <w:bottom w:val="single" w:sz="8" w:color="ACACAC"/>
            </w:tcBorders>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440" w:type="dxa"/>
            <w:vAlign w:val="bottom"/>
            <w:tcBorders>
              <w:bottom w:val="single" w:sz="8" w:color="ACACAC"/>
            </w:tcBorders>
            <w:gridSpan w:val="2"/>
          </w:tcPr>
          <w:p>
            <w:pPr>
              <w:jc w:val="right"/>
              <w:ind w:right="40"/>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8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1</w:t>
            </w:r>
          </w:p>
        </w:tc>
        <w:tc>
          <w:tcPr>
            <w:tcW w:w="20" w:type="dxa"/>
            <w:vAlign w:val="bottom"/>
            <w:tcBorders>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CACAC"/>
            </w:tcBorders>
          </w:tcPr>
          <w:p>
            <w:pPr>
              <w:jc w:val="right"/>
              <w:ind w:right="86"/>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180"/>
              <w:spacing w:after="0"/>
              <w:rPr>
                <w:sz w:val="20"/>
                <w:szCs w:val="20"/>
                <w:color w:val="auto"/>
              </w:rPr>
            </w:pPr>
            <w:r>
              <w:rPr>
                <w:rFonts w:ascii="Arial" w:cs="Arial" w:eastAsia="Arial" w:hAnsi="Arial"/>
                <w:sz w:val="14"/>
                <w:szCs w:val="14"/>
                <w:color w:val="auto"/>
              </w:rPr>
              <w:t>Separate account assets</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380" w:type="dxa"/>
            <w:vAlign w:val="bottom"/>
            <w:tcBorders>
              <w:bottom w:val="single" w:sz="8" w:color="ACACAC"/>
            </w:tcBorders>
            <w:gridSpan w:val="4"/>
          </w:tcPr>
          <w:p>
            <w:pPr>
              <w:jc w:val="right"/>
              <w:ind w:right="59"/>
              <w:spacing w:after="0"/>
              <w:rPr>
                <w:sz w:val="20"/>
                <w:szCs w:val="20"/>
                <w:color w:val="auto"/>
              </w:rPr>
            </w:pPr>
            <w:r>
              <w:rPr>
                <w:rFonts w:ascii="Arial" w:cs="Arial" w:eastAsia="Arial" w:hAnsi="Arial"/>
                <w:sz w:val="14"/>
                <w:szCs w:val="14"/>
                <w:color w:val="auto"/>
              </w:rPr>
              <w:t>2,805</w:t>
            </w: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560" w:type="dxa"/>
            <w:vAlign w:val="bottom"/>
            <w:tcBorders>
              <w:bottom w:val="single" w:sz="8" w:color="ACACAC"/>
            </w:tcBorders>
            <w:gridSpan w:val="3"/>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300" w:type="dxa"/>
            <w:vAlign w:val="bottom"/>
            <w:tcBorders>
              <w:bottom w:val="single" w:sz="8" w:color="ACACAC"/>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jc w:val="right"/>
              <w:ind w:right="67"/>
              <w:spacing w:after="0"/>
              <w:rPr>
                <w:sz w:val="20"/>
                <w:szCs w:val="20"/>
                <w:color w:val="auto"/>
              </w:rPr>
            </w:pPr>
            <w:r>
              <w:rPr>
                <w:rFonts w:ascii="Arial" w:cs="Arial" w:eastAsia="Arial" w:hAnsi="Arial"/>
                <w:sz w:val="14"/>
                <w:szCs w:val="14"/>
                <w:color w:val="auto"/>
              </w:rPr>
              <w:t>2,805</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005BA5"/>
            </w:tcBorders>
            <w:gridSpan w:val="2"/>
          </w:tcPr>
          <w:p>
            <w:pPr>
              <w:ind w:left="180"/>
              <w:spacing w:after="0"/>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005BA5"/>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005BA5"/>
            </w:tcBorders>
          </w:tcPr>
          <w:p>
            <w:pPr>
              <w:spacing w:after="0"/>
              <w:rPr>
                <w:sz w:val="21"/>
                <w:szCs w:val="21"/>
                <w:color w:val="auto"/>
              </w:rPr>
            </w:pPr>
          </w:p>
        </w:tc>
        <w:tc>
          <w:tcPr>
            <w:tcW w:w="1020" w:type="dxa"/>
            <w:vAlign w:val="bottom"/>
            <w:tcBorders>
              <w:bottom w:val="single" w:sz="8" w:color="005BA5"/>
            </w:tcBorders>
          </w:tcPr>
          <w:p>
            <w:pPr>
              <w:spacing w:after="0"/>
              <w:rPr>
                <w:sz w:val="21"/>
                <w:szCs w:val="21"/>
                <w:color w:val="auto"/>
              </w:rPr>
            </w:pPr>
          </w:p>
        </w:tc>
        <w:tc>
          <w:tcPr>
            <w:tcW w:w="360" w:type="dxa"/>
            <w:vAlign w:val="bottom"/>
            <w:tcBorders>
              <w:bottom w:val="single" w:sz="8" w:color="005BA5"/>
            </w:tcBorders>
            <w:gridSpan w:val="3"/>
          </w:tcPr>
          <w:p>
            <w:pPr>
              <w:jc w:val="right"/>
              <w:ind w:right="59"/>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740" w:type="dxa"/>
            <w:vAlign w:val="bottom"/>
            <w:tcBorders>
              <w:bottom w:val="single" w:sz="8" w:color="005BA5"/>
            </w:tcBorders>
          </w:tcPr>
          <w:p>
            <w:pPr>
              <w:spacing w:after="0"/>
              <w:rPr>
                <w:sz w:val="21"/>
                <w:szCs w:val="21"/>
                <w:color w:val="auto"/>
              </w:rPr>
            </w:pPr>
          </w:p>
        </w:tc>
        <w:tc>
          <w:tcPr>
            <w:tcW w:w="560" w:type="dxa"/>
            <w:vAlign w:val="bottom"/>
            <w:tcBorders>
              <w:bottom w:val="single" w:sz="8" w:color="005BA5"/>
            </w:tcBorders>
            <w:gridSpan w:val="3"/>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Borders>
              <w:bottom w:val="single" w:sz="8" w:color="005BA5"/>
            </w:tcBorders>
          </w:tcPr>
          <w:p>
            <w:pPr>
              <w:spacing w:after="0"/>
              <w:rPr>
                <w:sz w:val="21"/>
                <w:szCs w:val="21"/>
                <w:color w:val="auto"/>
              </w:rPr>
            </w:pPr>
          </w:p>
        </w:tc>
        <w:tc>
          <w:tcPr>
            <w:tcW w:w="1300" w:type="dxa"/>
            <w:vAlign w:val="bottom"/>
            <w:tcBorders>
              <w:bottom w:val="single" w:sz="8" w:color="005BA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1"/>
                <w:szCs w:val="21"/>
                <w:color w:val="auto"/>
              </w:rPr>
            </w:pPr>
          </w:p>
        </w:tc>
        <w:tc>
          <w:tcPr>
            <w:tcW w:w="160" w:type="dxa"/>
            <w:vAlign w:val="bottom"/>
            <w:tcBorders>
              <w:bottom w:val="single" w:sz="8" w:color="005BA5"/>
            </w:tcBorders>
          </w:tcPr>
          <w:p>
            <w:pPr>
              <w:spacing w:after="0"/>
              <w:rPr>
                <w:sz w:val="21"/>
                <w:szCs w:val="21"/>
                <w:color w:val="auto"/>
              </w:rPr>
            </w:pPr>
          </w:p>
        </w:tc>
        <w:tc>
          <w:tcPr>
            <w:tcW w:w="1180" w:type="dxa"/>
            <w:vAlign w:val="bottom"/>
            <w:tcBorders>
              <w:bottom w:val="single" w:sz="8" w:color="005BA5"/>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005BA5"/>
            </w:tcBorders>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1140" w:type="dxa"/>
            <w:vAlign w:val="bottom"/>
            <w:tcBorders>
              <w:bottom w:val="single" w:sz="8" w:color="005BA5"/>
            </w:tcBorders>
          </w:tcPr>
          <w:p>
            <w:pPr>
              <w:jc w:val="right"/>
              <w:ind w:right="67"/>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005BA5"/>
            </w:tcBorders>
            <w:gridSpan w:val="2"/>
          </w:tcPr>
          <w:p>
            <w:pPr>
              <w:ind w:left="380"/>
              <w:spacing w:after="0"/>
              <w:rPr>
                <w:sz w:val="20"/>
                <w:szCs w:val="20"/>
                <w:color w:val="auto"/>
              </w:rPr>
            </w:pPr>
            <w:r>
              <w:rPr>
                <w:rFonts w:ascii="Arial" w:cs="Arial" w:eastAsia="Arial" w:hAnsi="Arial"/>
                <w:sz w:val="14"/>
                <w:szCs w:val="14"/>
                <w:b w:val="1"/>
                <w:bCs w:val="1"/>
                <w:color w:val="auto"/>
              </w:rPr>
              <w:t>Total recurring basis assets</w:t>
            </w:r>
          </w:p>
        </w:tc>
        <w:tc>
          <w:tcPr>
            <w:tcW w:w="100" w:type="dxa"/>
            <w:vAlign w:val="bottom"/>
            <w:tcBorders>
              <w:bottom w:val="single" w:sz="8" w:color="005BA5"/>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005BA5"/>
            </w:tcBorders>
          </w:tcPr>
          <w:p>
            <w:pPr>
              <w:ind w:left="20"/>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005BA5"/>
            </w:tcBorders>
            <w:gridSpan w:val="4"/>
          </w:tcPr>
          <w:p>
            <w:pPr>
              <w:jc w:val="right"/>
              <w:ind w:right="59"/>
              <w:spacing w:after="0"/>
              <w:rPr>
                <w:sz w:val="20"/>
                <w:szCs w:val="20"/>
                <w:color w:val="auto"/>
              </w:rPr>
            </w:pPr>
            <w:r>
              <w:rPr>
                <w:rFonts w:ascii="Arial" w:cs="Arial" w:eastAsia="Arial" w:hAnsi="Arial"/>
                <w:sz w:val="14"/>
                <w:szCs w:val="14"/>
                <w:b w:val="1"/>
                <w:bCs w:val="1"/>
                <w:color w:val="auto"/>
              </w:rPr>
              <w:t>13,594</w:t>
            </w:r>
          </w:p>
        </w:tc>
        <w:tc>
          <w:tcPr>
            <w:tcW w:w="100" w:type="dxa"/>
            <w:vAlign w:val="bottom"/>
          </w:tcPr>
          <w:p>
            <w:pPr>
              <w:spacing w:after="0"/>
              <w:rPr>
                <w:sz w:val="21"/>
                <w:szCs w:val="21"/>
                <w:color w:val="auto"/>
              </w:rPr>
            </w:pPr>
          </w:p>
        </w:tc>
        <w:tc>
          <w:tcPr>
            <w:tcW w:w="740" w:type="dxa"/>
            <w:vAlign w:val="bottom"/>
            <w:tcBorders>
              <w:bottom w:val="single" w:sz="8" w:color="005BA5"/>
            </w:tcBorders>
          </w:tcPr>
          <w:p>
            <w:pPr>
              <w:jc w:val="right"/>
              <w:ind w:right="566"/>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005BA5"/>
            </w:tcBorders>
            <w:gridSpan w:val="2"/>
          </w:tcPr>
          <w:p>
            <w:pPr>
              <w:jc w:val="right"/>
              <w:ind w:right="40"/>
              <w:spacing w:after="0"/>
              <w:rPr>
                <w:sz w:val="20"/>
                <w:szCs w:val="20"/>
                <w:color w:val="auto"/>
              </w:rPr>
            </w:pPr>
            <w:r>
              <w:rPr>
                <w:rFonts w:ascii="Arial" w:cs="Arial" w:eastAsia="Arial" w:hAnsi="Arial"/>
                <w:sz w:val="14"/>
                <w:szCs w:val="14"/>
                <w:b w:val="1"/>
                <w:bCs w:val="1"/>
                <w:color w:val="auto"/>
                <w:w w:val="88"/>
              </w:rPr>
              <w:t>53,889</w:t>
            </w:r>
          </w:p>
        </w:tc>
        <w:tc>
          <w:tcPr>
            <w:tcW w:w="120" w:type="dxa"/>
            <w:vAlign w:val="bottom"/>
            <w:tcBorders>
              <w:bottom w:val="single" w:sz="8" w:color="005BA5"/>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005BA5"/>
            </w:tcBorders>
          </w:tcPr>
          <w:p>
            <w:pPr>
              <w:jc w:val="right"/>
              <w:ind w:right="67"/>
              <w:spacing w:after="0"/>
              <w:rPr>
                <w:sz w:val="20"/>
                <w:szCs w:val="20"/>
                <w:color w:val="auto"/>
              </w:rPr>
            </w:pPr>
            <w:r>
              <w:rPr>
                <w:rFonts w:ascii="Arial" w:cs="Arial" w:eastAsia="Arial" w:hAnsi="Arial"/>
                <w:sz w:val="14"/>
                <w:szCs w:val="14"/>
                <w:b w:val="1"/>
                <w:bCs w:val="1"/>
                <w:color w:val="auto"/>
              </w:rPr>
              <w:t>697</w:t>
            </w:r>
          </w:p>
        </w:tc>
        <w:tc>
          <w:tcPr>
            <w:tcW w:w="20" w:type="dxa"/>
            <w:vAlign w:val="bottom"/>
            <w:tcBorders>
              <w:bottom w:val="single" w:sz="8" w:color="005BA5"/>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005BA5"/>
            </w:tcBorders>
          </w:tcPr>
          <w:p>
            <w:pPr>
              <w:jc w:val="right"/>
              <w:ind w:right="86"/>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21"/>
                <w:szCs w:val="21"/>
                <w:color w:val="auto"/>
              </w:rPr>
            </w:pPr>
          </w:p>
        </w:tc>
        <w:tc>
          <w:tcPr>
            <w:tcW w:w="240" w:type="dxa"/>
            <w:vAlign w:val="bottom"/>
            <w:tcBorders>
              <w:bottom w:val="single" w:sz="8" w:color="005BA5"/>
            </w:tcBorders>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005BA5"/>
            </w:tcBorders>
          </w:tcPr>
          <w:p>
            <w:pPr>
              <w:jc w:val="right"/>
              <w:ind w:right="67"/>
              <w:spacing w:after="0"/>
              <w:rPr>
                <w:sz w:val="20"/>
                <w:szCs w:val="20"/>
                <w:color w:val="auto"/>
              </w:rPr>
            </w:pPr>
            <w:r>
              <w:rPr>
                <w:rFonts w:ascii="Arial" w:cs="Arial" w:eastAsia="Arial" w:hAnsi="Arial"/>
                <w:sz w:val="14"/>
                <w:szCs w:val="14"/>
                <w:b w:val="1"/>
                <w:bCs w:val="1"/>
                <w:color w:val="auto"/>
              </w:rPr>
              <w:t>68,157</w:t>
            </w:r>
          </w:p>
        </w:tc>
        <w:tc>
          <w:tcPr>
            <w:tcW w:w="0" w:type="dxa"/>
            <w:vAlign w:val="bottom"/>
          </w:tcPr>
          <w:p>
            <w:pPr>
              <w:spacing w:after="0"/>
              <w:rPr>
                <w:sz w:val="1"/>
                <w:szCs w:val="1"/>
                <w:color w:val="auto"/>
              </w:rPr>
            </w:pPr>
          </w:p>
        </w:tc>
      </w:tr>
      <w:tr>
        <w:trPr>
          <w:trHeight w:val="250"/>
        </w:trPr>
        <w:tc>
          <w:tcPr>
            <w:tcW w:w="3900" w:type="dxa"/>
            <w:vAlign w:val="bottom"/>
            <w:gridSpan w:val="2"/>
          </w:tcPr>
          <w:p>
            <w:pPr>
              <w:ind w:left="40"/>
              <w:spacing w:after="0"/>
              <w:rPr>
                <w:sz w:val="20"/>
                <w:szCs w:val="20"/>
                <w:color w:val="auto"/>
              </w:rPr>
            </w:pPr>
            <w:r>
              <w:rPr>
                <w:rFonts w:ascii="Arial" w:cs="Arial" w:eastAsia="Arial" w:hAnsi="Arial"/>
                <w:sz w:val="14"/>
                <w:szCs w:val="14"/>
                <w:color w:val="auto"/>
              </w:rPr>
              <w:t>% of total assets at fair value</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ind w:left="82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453"/>
        </w:trPr>
        <w:tc>
          <w:tcPr>
            <w:tcW w:w="3900" w:type="dxa"/>
            <w:vAlign w:val="bottom"/>
            <w:tcBorders>
              <w:top w:val="single" w:sz="8" w:color="ACACAC"/>
              <w:bottom w:val="single" w:sz="8" w:color="005BA5"/>
            </w:tcBorders>
            <w:gridSpan w:val="2"/>
          </w:tcPr>
          <w:p>
            <w:pPr>
              <w:ind w:left="40"/>
              <w:spacing w:after="0"/>
              <w:rPr>
                <w:sz w:val="20"/>
                <w:szCs w:val="20"/>
                <w:color w:val="auto"/>
              </w:rPr>
            </w:pPr>
            <w:r>
              <w:rPr>
                <w:rFonts w:ascii="Arial" w:cs="Arial" w:eastAsia="Arial" w:hAnsi="Arial"/>
                <w:sz w:val="14"/>
                <w:szCs w:val="14"/>
                <w:color w:val="auto"/>
              </w:rPr>
              <w:t>Investments reported at NAV</w:t>
            </w:r>
          </w:p>
        </w:tc>
        <w:tc>
          <w:tcPr>
            <w:tcW w:w="100" w:type="dxa"/>
            <w:vAlign w:val="bottom"/>
            <w:tcBorders>
              <w:top w:val="single" w:sz="8" w:color="ACACAC"/>
              <w:bottom w:val="single" w:sz="8" w:color="005BA5"/>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CACAC"/>
              <w:bottom w:val="single" w:sz="8" w:color="005BA5"/>
            </w:tcBorders>
          </w:tcPr>
          <w:p>
            <w:pPr>
              <w:spacing w:after="0"/>
              <w:rPr>
                <w:sz w:val="24"/>
                <w:szCs w:val="24"/>
                <w:color w:val="auto"/>
              </w:rPr>
            </w:pPr>
          </w:p>
        </w:tc>
        <w:tc>
          <w:tcPr>
            <w:tcW w:w="1020" w:type="dxa"/>
            <w:vAlign w:val="bottom"/>
            <w:tcBorders>
              <w:top w:val="single" w:sz="8" w:color="ACACAC"/>
              <w:bottom w:val="single" w:sz="8" w:color="005BA5"/>
            </w:tcBorders>
          </w:tcPr>
          <w:p>
            <w:pPr>
              <w:spacing w:after="0"/>
              <w:rPr>
                <w:sz w:val="24"/>
                <w:szCs w:val="24"/>
                <w:color w:val="auto"/>
              </w:rPr>
            </w:pPr>
          </w:p>
        </w:tc>
        <w:tc>
          <w:tcPr>
            <w:tcW w:w="40" w:type="dxa"/>
            <w:vAlign w:val="bottom"/>
            <w:tcBorders>
              <w:top w:val="single" w:sz="8" w:color="ACACAC"/>
              <w:bottom w:val="single" w:sz="8" w:color="005BA5"/>
            </w:tcBorders>
          </w:tcPr>
          <w:p>
            <w:pPr>
              <w:spacing w:after="0"/>
              <w:rPr>
                <w:sz w:val="24"/>
                <w:szCs w:val="24"/>
                <w:color w:val="auto"/>
              </w:rPr>
            </w:pPr>
          </w:p>
        </w:tc>
        <w:tc>
          <w:tcPr>
            <w:tcW w:w="140" w:type="dxa"/>
            <w:vAlign w:val="bottom"/>
            <w:tcBorders>
              <w:top w:val="single" w:sz="8" w:color="ACACAC"/>
              <w:bottom w:val="single" w:sz="8" w:color="005BA5"/>
            </w:tcBorders>
          </w:tcPr>
          <w:p>
            <w:pPr>
              <w:spacing w:after="0"/>
              <w:rPr>
                <w:sz w:val="24"/>
                <w:szCs w:val="24"/>
                <w:color w:val="auto"/>
              </w:rPr>
            </w:pPr>
          </w:p>
        </w:tc>
        <w:tc>
          <w:tcPr>
            <w:tcW w:w="180" w:type="dxa"/>
            <w:vAlign w:val="bottom"/>
            <w:tcBorders>
              <w:top w:val="single" w:sz="8" w:color="ACACAC"/>
              <w:bottom w:val="single" w:sz="8" w:color="005BA5"/>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CACAC"/>
              <w:bottom w:val="single" w:sz="8" w:color="005BA5"/>
            </w:tcBorders>
          </w:tcPr>
          <w:p>
            <w:pPr>
              <w:spacing w:after="0"/>
              <w:rPr>
                <w:sz w:val="24"/>
                <w:szCs w:val="24"/>
                <w:color w:val="auto"/>
              </w:rPr>
            </w:pPr>
          </w:p>
        </w:tc>
        <w:tc>
          <w:tcPr>
            <w:tcW w:w="340" w:type="dxa"/>
            <w:vAlign w:val="bottom"/>
            <w:tcBorders>
              <w:top w:val="single" w:sz="8" w:color="ACACAC"/>
              <w:bottom w:val="single" w:sz="8" w:color="005BA5"/>
            </w:tcBorders>
          </w:tcPr>
          <w:p>
            <w:pPr>
              <w:spacing w:after="0"/>
              <w:rPr>
                <w:sz w:val="24"/>
                <w:szCs w:val="24"/>
                <w:color w:val="auto"/>
              </w:rPr>
            </w:pPr>
          </w:p>
        </w:tc>
        <w:tc>
          <w:tcPr>
            <w:tcW w:w="100" w:type="dxa"/>
            <w:vAlign w:val="bottom"/>
            <w:tcBorders>
              <w:top w:val="single" w:sz="8" w:color="ACACAC"/>
              <w:bottom w:val="single" w:sz="8" w:color="005BA5"/>
            </w:tcBorders>
          </w:tcPr>
          <w:p>
            <w:pPr>
              <w:spacing w:after="0"/>
              <w:rPr>
                <w:sz w:val="24"/>
                <w:szCs w:val="24"/>
                <w:color w:val="auto"/>
              </w:rPr>
            </w:pPr>
          </w:p>
        </w:tc>
        <w:tc>
          <w:tcPr>
            <w:tcW w:w="120" w:type="dxa"/>
            <w:vAlign w:val="bottom"/>
            <w:tcBorders>
              <w:top w:val="single" w:sz="8" w:color="ACACAC"/>
              <w:bottom w:val="single" w:sz="8" w:color="005BA5"/>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CACAC"/>
              <w:bottom w:val="single" w:sz="8" w:color="005BA5"/>
            </w:tcBorders>
          </w:tcPr>
          <w:p>
            <w:pPr>
              <w:spacing w:after="0"/>
              <w:rPr>
                <w:sz w:val="24"/>
                <w:szCs w:val="24"/>
                <w:color w:val="auto"/>
              </w:rPr>
            </w:pPr>
          </w:p>
        </w:tc>
        <w:tc>
          <w:tcPr>
            <w:tcW w:w="1280" w:type="dxa"/>
            <w:vAlign w:val="bottom"/>
            <w:tcBorders>
              <w:top w:val="single" w:sz="8" w:color="ACACAC"/>
              <w:bottom w:val="single" w:sz="8" w:color="005BA5"/>
            </w:tcBorders>
          </w:tcPr>
          <w:p>
            <w:pPr>
              <w:spacing w:after="0"/>
              <w:rPr>
                <w:sz w:val="24"/>
                <w:szCs w:val="24"/>
                <w:color w:val="auto"/>
              </w:rPr>
            </w:pPr>
          </w:p>
        </w:tc>
        <w:tc>
          <w:tcPr>
            <w:tcW w:w="20" w:type="dxa"/>
            <w:vAlign w:val="bottom"/>
            <w:tcBorders>
              <w:top w:val="single" w:sz="8" w:color="ACACAC"/>
              <w:bottom w:val="single" w:sz="8" w:color="005BA5"/>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CACAC"/>
              <w:bottom w:val="single" w:sz="8" w:color="005BA5"/>
            </w:tcBorders>
          </w:tcPr>
          <w:p>
            <w:pPr>
              <w:spacing w:after="0"/>
              <w:rPr>
                <w:sz w:val="24"/>
                <w:szCs w:val="24"/>
                <w:color w:val="auto"/>
              </w:rPr>
            </w:pPr>
          </w:p>
        </w:tc>
        <w:tc>
          <w:tcPr>
            <w:tcW w:w="1180" w:type="dxa"/>
            <w:vAlign w:val="bottom"/>
            <w:tcBorders>
              <w:top w:val="single" w:sz="8" w:color="ACACAC"/>
              <w:bottom w:val="single" w:sz="8" w:color="005BA5"/>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CACAC"/>
              <w:bottom w:val="single" w:sz="8" w:color="005BA5"/>
            </w:tcBorders>
          </w:tcPr>
          <w:p>
            <w:pPr>
              <w:spacing w:after="0"/>
              <w:rPr>
                <w:sz w:val="24"/>
                <w:szCs w:val="24"/>
                <w:color w:val="auto"/>
              </w:rPr>
            </w:pPr>
          </w:p>
        </w:tc>
        <w:tc>
          <w:tcPr>
            <w:tcW w:w="220" w:type="dxa"/>
            <w:vAlign w:val="bottom"/>
            <w:tcBorders>
              <w:top w:val="single" w:sz="8" w:color="ACACAC"/>
              <w:bottom w:val="single" w:sz="8" w:color="005BA5"/>
            </w:tcBorders>
          </w:tcPr>
          <w:p>
            <w:pPr>
              <w:spacing w:after="0"/>
              <w:rPr>
                <w:sz w:val="24"/>
                <w:szCs w:val="24"/>
                <w:color w:val="auto"/>
              </w:rPr>
            </w:pPr>
          </w:p>
        </w:tc>
        <w:tc>
          <w:tcPr>
            <w:tcW w:w="1140" w:type="dxa"/>
            <w:vAlign w:val="bottom"/>
            <w:tcBorders>
              <w:top w:val="single" w:sz="8" w:color="ACACAC"/>
              <w:bottom w:val="single" w:sz="8" w:color="005BA5"/>
            </w:tcBorders>
          </w:tcPr>
          <w:p>
            <w:pPr>
              <w:jc w:val="right"/>
              <w:ind w:right="67"/>
              <w:spacing w:after="0"/>
              <w:rPr>
                <w:sz w:val="20"/>
                <w:szCs w:val="20"/>
                <w:color w:val="auto"/>
              </w:rPr>
            </w:pPr>
            <w:r>
              <w:rPr>
                <w:rFonts w:ascii="Arial" w:cs="Arial" w:eastAsia="Arial" w:hAnsi="Arial"/>
                <w:sz w:val="14"/>
                <w:szCs w:val="14"/>
                <w:color w:val="auto"/>
              </w:rPr>
              <w:t>1,779</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69,936</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ACACAC"/>
            </w:tcBorders>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020" w:type="dxa"/>
            <w:vAlign w:val="bottom"/>
            <w:tcBorders>
              <w:bottom w:val="single" w:sz="8" w:color="ACACAC"/>
            </w:tcBorders>
          </w:tcPr>
          <w:p>
            <w:pPr>
              <w:spacing w:after="0"/>
              <w:rPr>
                <w:sz w:val="21"/>
                <w:szCs w:val="21"/>
                <w:color w:val="auto"/>
              </w:rPr>
            </w:pPr>
          </w:p>
        </w:tc>
        <w:tc>
          <w:tcPr>
            <w:tcW w:w="40" w:type="dxa"/>
            <w:vAlign w:val="bottom"/>
            <w:tcBorders>
              <w:bottom w:val="single" w:sz="8" w:color="ACACAC"/>
            </w:tcBorders>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Borders>
              <w:bottom w:val="single" w:sz="8" w:color="ACACAC"/>
            </w:tcBorders>
          </w:tcPr>
          <w:p>
            <w:pPr>
              <w:spacing w:after="0"/>
              <w:rPr>
                <w:sz w:val="21"/>
                <w:szCs w:val="21"/>
                <w:color w:val="auto"/>
              </w:rPr>
            </w:pPr>
          </w:p>
        </w:tc>
        <w:tc>
          <w:tcPr>
            <w:tcW w:w="340" w:type="dxa"/>
            <w:vAlign w:val="bottom"/>
            <w:tcBorders>
              <w:bottom w:val="single" w:sz="8" w:color="ACACAC"/>
            </w:tcBorders>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bottom w:val="single" w:sz="8" w:color="ACACAC"/>
            </w:tcBorders>
          </w:tcPr>
          <w:p>
            <w:pPr>
              <w:spacing w:after="0"/>
              <w:rPr>
                <w:sz w:val="21"/>
                <w:szCs w:val="21"/>
                <w:color w:val="auto"/>
              </w:rPr>
            </w:pPr>
          </w:p>
        </w:tc>
        <w:tc>
          <w:tcPr>
            <w:tcW w:w="1280" w:type="dxa"/>
            <w:vAlign w:val="bottom"/>
            <w:tcBorders>
              <w:bottom w:val="single" w:sz="8" w:color="ACACAC"/>
            </w:tcBorders>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1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spacing w:after="0"/>
              <w:rPr>
                <w:sz w:val="21"/>
                <w:szCs w:val="21"/>
                <w:color w:val="auto"/>
              </w:rPr>
            </w:pPr>
          </w:p>
        </w:tc>
        <w:tc>
          <w:tcPr>
            <w:tcW w:w="114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900" w:type="dxa"/>
            <w:vAlign w:val="bottom"/>
            <w:gridSpan w:val="2"/>
          </w:tcPr>
          <w:p>
            <w:pPr>
              <w:ind w:left="180"/>
              <w:spacing w:after="0" w:line="157" w:lineRule="exact"/>
              <w:rPr>
                <w:sz w:val="20"/>
                <w:szCs w:val="20"/>
                <w:color w:val="auto"/>
              </w:rPr>
            </w:pPr>
            <w:r>
              <w:rPr>
                <w:rFonts w:ascii="Arial" w:cs="Arial" w:eastAsia="Arial" w:hAnsi="Arial"/>
                <w:sz w:val="14"/>
                <w:szCs w:val="14"/>
                <w:color w:val="auto"/>
                <w:w w:val="94"/>
              </w:rPr>
              <w:t>Contractholder funds: Derivatives embedded in life and annuity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900" w:type="dxa"/>
            <w:vAlign w:val="bottom"/>
            <w:tcBorders>
              <w:bottom w:val="single" w:sz="8" w:color="ACACAC"/>
            </w:tcBorders>
            <w:gridSpan w:val="2"/>
          </w:tcPr>
          <w:p>
            <w:pPr>
              <w:ind w:left="180"/>
              <w:spacing w:after="0"/>
              <w:rPr>
                <w:sz w:val="20"/>
                <w:szCs w:val="20"/>
                <w:color w:val="auto"/>
              </w:rPr>
            </w:pPr>
            <w:r>
              <w:rPr>
                <w:rFonts w:ascii="Arial" w:cs="Arial" w:eastAsia="Arial" w:hAnsi="Arial"/>
                <w:sz w:val="14"/>
                <w:szCs w:val="14"/>
                <w:color w:val="auto"/>
              </w:rPr>
              <w:t>contracts</w:t>
            </w:r>
          </w:p>
        </w:tc>
        <w:tc>
          <w:tcPr>
            <w:tcW w:w="100" w:type="dxa"/>
            <w:vAlign w:val="bottom"/>
            <w:tcBorders>
              <w:bottom w:val="single" w:sz="8" w:color="ACACAC"/>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CACAC"/>
            </w:tcBorders>
          </w:tcPr>
          <w:p>
            <w:pPr>
              <w:ind w:left="20"/>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CACAC"/>
            </w:tcBorders>
          </w:tcPr>
          <w:p>
            <w:pPr>
              <w:spacing w:after="0"/>
              <w:rPr>
                <w:sz w:val="16"/>
                <w:szCs w:val="16"/>
                <w:color w:val="auto"/>
              </w:rPr>
            </w:pPr>
          </w:p>
        </w:tc>
        <w:tc>
          <w:tcPr>
            <w:tcW w:w="40" w:type="dxa"/>
            <w:vAlign w:val="bottom"/>
            <w:tcBorders>
              <w:bottom w:val="single" w:sz="8" w:color="ACACAC"/>
            </w:tcBorders>
          </w:tcPr>
          <w:p>
            <w:pPr>
              <w:spacing w:after="0"/>
              <w:rPr>
                <w:sz w:val="16"/>
                <w:szCs w:val="16"/>
                <w:color w:val="auto"/>
              </w:rPr>
            </w:pPr>
          </w:p>
        </w:tc>
        <w:tc>
          <w:tcPr>
            <w:tcW w:w="320" w:type="dxa"/>
            <w:vAlign w:val="bottom"/>
            <w:tcBorders>
              <w:bottom w:val="single" w:sz="8" w:color="ACACAC"/>
            </w:tcBorders>
            <w:gridSpan w:val="2"/>
          </w:tcPr>
          <w:p>
            <w:pPr>
              <w:jc w:val="right"/>
              <w:ind w:right="5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Borders>
              <w:bottom w:val="single" w:sz="8" w:color="ACACAC"/>
            </w:tcBorders>
          </w:tcPr>
          <w:p>
            <w:pPr>
              <w:jc w:val="right"/>
              <w:ind w:right="566"/>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CACAC"/>
            </w:tcBorders>
            <w:gridSpan w:val="3"/>
          </w:tcPr>
          <w:p>
            <w:pPr>
              <w:jc w:val="right"/>
              <w:ind w:right="7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CACAC"/>
            </w:tcBorders>
          </w:tcPr>
          <w:p>
            <w:pPr>
              <w:jc w:val="right"/>
              <w:ind w:right="27"/>
              <w:spacing w:after="0"/>
              <w:rPr>
                <w:sz w:val="20"/>
                <w:szCs w:val="20"/>
                <w:color w:val="auto"/>
              </w:rPr>
            </w:pPr>
            <w:r>
              <w:rPr>
                <w:rFonts w:ascii="Arial" w:cs="Arial" w:eastAsia="Arial" w:hAnsi="Arial"/>
                <w:sz w:val="14"/>
                <w:szCs w:val="14"/>
                <w:color w:val="auto"/>
              </w:rPr>
              <w:t>(224)</w:t>
            </w:r>
          </w:p>
        </w:tc>
        <w:tc>
          <w:tcPr>
            <w:tcW w:w="20" w:type="dxa"/>
            <w:vAlign w:val="bottom"/>
            <w:tcBorders>
              <w:bottom w:val="single" w:sz="8" w:color="ACACAC"/>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CACAC"/>
            </w:tcBorders>
          </w:tcPr>
          <w:p>
            <w:pPr>
              <w:spacing w:after="0"/>
              <w:rPr>
                <w:sz w:val="16"/>
                <w:szCs w:val="16"/>
                <w:color w:val="auto"/>
              </w:rPr>
            </w:pPr>
          </w:p>
        </w:tc>
        <w:tc>
          <w:tcPr>
            <w:tcW w:w="1180" w:type="dxa"/>
            <w:vAlign w:val="bottom"/>
            <w:tcBorders>
              <w:bottom w:val="single" w:sz="8" w:color="ACACAC"/>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CACAC"/>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CACAC"/>
            </w:tcBorders>
          </w:tcPr>
          <w:p>
            <w:pPr>
              <w:jc w:val="right"/>
              <w:ind w:right="27"/>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005BA5"/>
            </w:tcBorders>
            <w:gridSpan w:val="2"/>
          </w:tcPr>
          <w:p>
            <w:pPr>
              <w:ind w:left="180"/>
              <w:spacing w:after="0"/>
              <w:rPr>
                <w:sz w:val="20"/>
                <w:szCs w:val="20"/>
                <w:color w:val="auto"/>
              </w:rPr>
            </w:pPr>
            <w:r>
              <w:rPr>
                <w:rFonts w:ascii="Arial" w:cs="Arial" w:eastAsia="Arial" w:hAnsi="Arial"/>
                <w:sz w:val="14"/>
                <w:szCs w:val="14"/>
                <w:color w:val="auto"/>
              </w:rPr>
              <w:t>Other liabilities: Free-standing derivatives</w:t>
            </w:r>
          </w:p>
        </w:tc>
        <w:tc>
          <w:tcPr>
            <w:tcW w:w="100" w:type="dxa"/>
            <w:vAlign w:val="bottom"/>
            <w:tcBorders>
              <w:bottom w:val="single" w:sz="8" w:color="005BA5"/>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005BA5"/>
            </w:tcBorders>
          </w:tcPr>
          <w:p>
            <w:pPr>
              <w:spacing w:after="0"/>
              <w:rPr>
                <w:sz w:val="21"/>
                <w:szCs w:val="21"/>
                <w:color w:val="auto"/>
              </w:rPr>
            </w:pPr>
          </w:p>
        </w:tc>
        <w:tc>
          <w:tcPr>
            <w:tcW w:w="1020" w:type="dxa"/>
            <w:vAlign w:val="bottom"/>
            <w:tcBorders>
              <w:bottom w:val="single" w:sz="8" w:color="005BA5"/>
            </w:tcBorders>
          </w:tcPr>
          <w:p>
            <w:pPr>
              <w:spacing w:after="0"/>
              <w:rPr>
                <w:sz w:val="21"/>
                <w:szCs w:val="21"/>
                <w:color w:val="auto"/>
              </w:rPr>
            </w:pPr>
          </w:p>
        </w:tc>
        <w:tc>
          <w:tcPr>
            <w:tcW w:w="360" w:type="dxa"/>
            <w:vAlign w:val="bottom"/>
            <w:tcBorders>
              <w:bottom w:val="single" w:sz="8" w:color="005BA5"/>
            </w:tcBorders>
            <w:gridSpan w:val="3"/>
          </w:tcPr>
          <w:p>
            <w:pPr>
              <w:jc w:val="right"/>
              <w:ind w:right="19"/>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740" w:type="dxa"/>
            <w:vAlign w:val="bottom"/>
            <w:tcBorders>
              <w:bottom w:val="single" w:sz="8" w:color="005BA5"/>
            </w:tcBorders>
          </w:tcPr>
          <w:p>
            <w:pPr>
              <w:spacing w:after="0"/>
              <w:rPr>
                <w:sz w:val="21"/>
                <w:szCs w:val="21"/>
                <w:color w:val="auto"/>
              </w:rPr>
            </w:pPr>
          </w:p>
        </w:tc>
        <w:tc>
          <w:tcPr>
            <w:tcW w:w="560" w:type="dxa"/>
            <w:vAlign w:val="bottom"/>
            <w:tcBorders>
              <w:bottom w:val="single" w:sz="8" w:color="005BA5"/>
            </w:tcBorders>
            <w:gridSpan w:val="3"/>
          </w:tcPr>
          <w:p>
            <w:pPr>
              <w:jc w:val="right"/>
              <w:ind w:right="39"/>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1"/>
                <w:szCs w:val="21"/>
                <w:color w:val="auto"/>
              </w:rPr>
            </w:pPr>
          </w:p>
        </w:tc>
        <w:tc>
          <w:tcPr>
            <w:tcW w:w="100" w:type="dxa"/>
            <w:vAlign w:val="bottom"/>
            <w:tcBorders>
              <w:bottom w:val="single" w:sz="8" w:color="005BA5"/>
            </w:tcBorders>
          </w:tcPr>
          <w:p>
            <w:pPr>
              <w:spacing w:after="0"/>
              <w:rPr>
                <w:sz w:val="21"/>
                <w:szCs w:val="21"/>
                <w:color w:val="auto"/>
              </w:rPr>
            </w:pPr>
          </w:p>
        </w:tc>
        <w:tc>
          <w:tcPr>
            <w:tcW w:w="1300" w:type="dxa"/>
            <w:vAlign w:val="bottom"/>
            <w:tcBorders>
              <w:bottom w:val="single" w:sz="8" w:color="005BA5"/>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gridSpan w:val="2"/>
          </w:tcPr>
          <w:p>
            <w:pPr>
              <w:spacing w:after="0"/>
              <w:rPr>
                <w:sz w:val="21"/>
                <w:szCs w:val="21"/>
                <w:color w:val="auto"/>
              </w:rPr>
            </w:pPr>
          </w:p>
        </w:tc>
        <w:tc>
          <w:tcPr>
            <w:tcW w:w="160" w:type="dxa"/>
            <w:vAlign w:val="bottom"/>
            <w:tcBorders>
              <w:bottom w:val="single" w:sz="8" w:color="005BA5"/>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005BA5"/>
            </w:tcBorders>
          </w:tcPr>
          <w:p>
            <w:pPr>
              <w:jc w:val="right"/>
              <w:ind w:right="126"/>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20" w:type="dxa"/>
            <w:vAlign w:val="bottom"/>
            <w:tcBorders>
              <w:bottom w:val="single" w:sz="8" w:color="005BA5"/>
            </w:tcBorders>
          </w:tcPr>
          <w:p>
            <w:pPr>
              <w:spacing w:after="0"/>
              <w:rPr>
                <w:sz w:val="21"/>
                <w:szCs w:val="21"/>
                <w:color w:val="auto"/>
              </w:rPr>
            </w:pPr>
          </w:p>
        </w:tc>
        <w:tc>
          <w:tcPr>
            <w:tcW w:w="220" w:type="dxa"/>
            <w:vAlign w:val="bottom"/>
            <w:tcBorders>
              <w:bottom w:val="single" w:sz="8" w:color="005BA5"/>
            </w:tcBorders>
          </w:tcPr>
          <w:p>
            <w:pPr>
              <w:spacing w:after="0"/>
              <w:rPr>
                <w:sz w:val="21"/>
                <w:szCs w:val="21"/>
                <w:color w:val="auto"/>
              </w:rPr>
            </w:pPr>
          </w:p>
        </w:tc>
        <w:tc>
          <w:tcPr>
            <w:tcW w:w="1140" w:type="dxa"/>
            <w:vAlign w:val="bottom"/>
            <w:tcBorders>
              <w:bottom w:val="single" w:sz="8" w:color="005BA5"/>
            </w:tcBorders>
          </w:tcPr>
          <w:p>
            <w:pPr>
              <w:jc w:val="right"/>
              <w:ind w:right="27"/>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50"/>
        </w:trPr>
        <w:tc>
          <w:tcPr>
            <w:tcW w:w="390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recurring basis liabilities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spacing w:after="0"/>
              <w:rPr>
                <w:sz w:val="21"/>
                <w:szCs w:val="21"/>
                <w:color w:val="auto"/>
              </w:rPr>
            </w:pPr>
          </w:p>
        </w:tc>
        <w:tc>
          <w:tcPr>
            <w:tcW w:w="36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1"/>
                <w:szCs w:val="21"/>
                <w:color w:val="auto"/>
              </w:rPr>
            </w:pPr>
          </w:p>
        </w:tc>
        <w:tc>
          <w:tcPr>
            <w:tcW w:w="740" w:type="dxa"/>
            <w:vAlign w:val="bottom"/>
          </w:tcPr>
          <w:p>
            <w:pPr>
              <w:jc w:val="right"/>
              <w:ind w:right="566"/>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(62)</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27"/>
              <w:spacing w:after="0"/>
              <w:rPr>
                <w:sz w:val="20"/>
                <w:szCs w:val="20"/>
                <w:color w:val="auto"/>
              </w:rPr>
            </w:pPr>
            <w:r>
              <w:rPr>
                <w:rFonts w:ascii="Arial" w:cs="Arial" w:eastAsia="Arial" w:hAnsi="Arial"/>
                <w:sz w:val="14"/>
                <w:szCs w:val="14"/>
                <w:b w:val="1"/>
                <w:bCs w:val="1"/>
                <w:color w:val="auto"/>
              </w:rPr>
              <w:t>(224)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26"/>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1"/>
                <w:szCs w:val="2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7"/>
              <w:spacing w:after="0"/>
              <w:rPr>
                <w:sz w:val="20"/>
                <w:szCs w:val="20"/>
                <w:color w:val="auto"/>
              </w:rPr>
            </w:pPr>
            <w:r>
              <w:rPr>
                <w:rFonts w:ascii="Arial" w:cs="Arial" w:eastAsia="Arial" w:hAnsi="Arial"/>
                <w:sz w:val="14"/>
                <w:szCs w:val="14"/>
                <w:b w:val="1"/>
                <w:bCs w:val="1"/>
                <w:color w:val="auto"/>
              </w:rPr>
              <w:t>(281)</w:t>
            </w:r>
          </w:p>
        </w:tc>
        <w:tc>
          <w:tcPr>
            <w:tcW w:w="0" w:type="dxa"/>
            <w:vAlign w:val="bottom"/>
          </w:tcPr>
          <w:p>
            <w:pPr>
              <w:spacing w:after="0"/>
              <w:rPr>
                <w:sz w:val="1"/>
                <w:szCs w:val="1"/>
                <w:color w:val="auto"/>
              </w:rPr>
            </w:pPr>
          </w:p>
        </w:tc>
      </w:tr>
      <w:tr>
        <w:trPr>
          <w:trHeight w:val="250"/>
        </w:trPr>
        <w:tc>
          <w:tcPr>
            <w:tcW w:w="3900" w:type="dxa"/>
            <w:vAlign w:val="bottom"/>
            <w:tcBorders>
              <w:top w:val="single" w:sz="8" w:color="005BA5"/>
              <w:bottom w:val="single" w:sz="8" w:color="ACACAC"/>
            </w:tcBorders>
            <w:gridSpan w:val="2"/>
          </w:tcPr>
          <w:p>
            <w:pPr>
              <w:ind w:left="40"/>
              <w:spacing w:after="0"/>
              <w:rPr>
                <w:sz w:val="20"/>
                <w:szCs w:val="20"/>
                <w:color w:val="auto"/>
              </w:rPr>
            </w:pPr>
            <w:r>
              <w:rPr>
                <w:rFonts w:ascii="Arial" w:cs="Arial" w:eastAsia="Arial" w:hAnsi="Arial"/>
                <w:sz w:val="14"/>
                <w:szCs w:val="14"/>
                <w:color w:val="auto"/>
              </w:rPr>
              <w:t>% of total liabilities at fair value</w:t>
            </w:r>
          </w:p>
        </w:tc>
        <w:tc>
          <w:tcPr>
            <w:tcW w:w="100" w:type="dxa"/>
            <w:vAlign w:val="bottom"/>
            <w:tcBorders>
              <w:top w:val="single" w:sz="8" w:color="005BA5"/>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005BA5"/>
              <w:bottom w:val="single" w:sz="8" w:color="ACACAC"/>
            </w:tcBorders>
          </w:tcPr>
          <w:p>
            <w:pPr>
              <w:spacing w:after="0"/>
              <w:rPr>
                <w:sz w:val="21"/>
                <w:szCs w:val="21"/>
                <w:color w:val="auto"/>
              </w:rPr>
            </w:pPr>
          </w:p>
        </w:tc>
        <w:tc>
          <w:tcPr>
            <w:tcW w:w="1020" w:type="dxa"/>
            <w:vAlign w:val="bottom"/>
            <w:tcBorders>
              <w:top w:val="single" w:sz="8" w:color="005BA5"/>
              <w:bottom w:val="single" w:sz="8" w:color="ACACAC"/>
            </w:tcBorders>
          </w:tcPr>
          <w:p>
            <w:pPr>
              <w:spacing w:after="0"/>
              <w:rPr>
                <w:sz w:val="21"/>
                <w:szCs w:val="21"/>
                <w:color w:val="auto"/>
              </w:rPr>
            </w:pPr>
          </w:p>
        </w:tc>
        <w:tc>
          <w:tcPr>
            <w:tcW w:w="360" w:type="dxa"/>
            <w:vAlign w:val="bottom"/>
            <w:tcBorders>
              <w:top w:val="single" w:sz="8" w:color="005BA5"/>
              <w:bottom w:val="single" w:sz="8" w:color="ACACAC"/>
            </w:tcBorders>
            <w:gridSpan w:val="3"/>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1"/>
                <w:szCs w:val="21"/>
                <w:color w:val="auto"/>
              </w:rPr>
            </w:pPr>
          </w:p>
        </w:tc>
        <w:tc>
          <w:tcPr>
            <w:tcW w:w="740" w:type="dxa"/>
            <w:vAlign w:val="bottom"/>
            <w:tcBorders>
              <w:top w:val="single" w:sz="8" w:color="005BA5"/>
              <w:bottom w:val="single" w:sz="8" w:color="ACACAC"/>
            </w:tcBorders>
          </w:tcPr>
          <w:p>
            <w:pPr>
              <w:spacing w:after="0"/>
              <w:rPr>
                <w:sz w:val="21"/>
                <w:szCs w:val="21"/>
                <w:color w:val="auto"/>
              </w:rPr>
            </w:pPr>
          </w:p>
        </w:tc>
        <w:tc>
          <w:tcPr>
            <w:tcW w:w="560" w:type="dxa"/>
            <w:vAlign w:val="bottom"/>
            <w:tcBorders>
              <w:top w:val="single" w:sz="8" w:color="005BA5"/>
              <w:bottom w:val="single" w:sz="8" w:color="ACACAC"/>
            </w:tcBorders>
            <w:gridSpan w:val="3"/>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1"/>
                <w:szCs w:val="21"/>
                <w:color w:val="auto"/>
              </w:rPr>
            </w:pPr>
          </w:p>
        </w:tc>
        <w:tc>
          <w:tcPr>
            <w:tcW w:w="100" w:type="dxa"/>
            <w:vAlign w:val="bottom"/>
            <w:tcBorders>
              <w:top w:val="single" w:sz="8" w:color="005BA5"/>
              <w:bottom w:val="single" w:sz="8" w:color="ACACAC"/>
            </w:tcBorders>
          </w:tcPr>
          <w:p>
            <w:pPr>
              <w:spacing w:after="0"/>
              <w:rPr>
                <w:sz w:val="21"/>
                <w:szCs w:val="21"/>
                <w:color w:val="auto"/>
              </w:rPr>
            </w:pPr>
          </w:p>
        </w:tc>
        <w:tc>
          <w:tcPr>
            <w:tcW w:w="1280" w:type="dxa"/>
            <w:vAlign w:val="bottom"/>
            <w:tcBorders>
              <w:top w:val="single" w:sz="8" w:color="005BA5"/>
              <w:bottom w:val="single" w:sz="8" w:color="ACACAC"/>
            </w:tcBorders>
          </w:tcPr>
          <w:p>
            <w:pPr>
              <w:jc w:val="right"/>
              <w:spacing w:after="0"/>
              <w:rPr>
                <w:sz w:val="20"/>
                <w:szCs w:val="20"/>
                <w:color w:val="auto"/>
              </w:rPr>
            </w:pPr>
            <w:r>
              <w:rPr>
                <w:rFonts w:ascii="Arial" w:cs="Arial" w:eastAsia="Arial" w:hAnsi="Arial"/>
                <w:sz w:val="14"/>
                <w:szCs w:val="14"/>
                <w:color w:val="auto"/>
              </w:rPr>
              <w:t>79.7%</w:t>
            </w:r>
          </w:p>
        </w:tc>
        <w:tc>
          <w:tcPr>
            <w:tcW w:w="20" w:type="dxa"/>
            <w:vAlign w:val="bottom"/>
            <w:tcBorders>
              <w:top w:val="single" w:sz="8" w:color="005BA5"/>
              <w:bottom w:val="single" w:sz="8" w:color="ACACAC"/>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005BA5"/>
              <w:bottom w:val="single" w:sz="8" w:color="ACACAC"/>
            </w:tcBorders>
          </w:tcPr>
          <w:p>
            <w:pPr>
              <w:spacing w:after="0"/>
              <w:rPr>
                <w:sz w:val="21"/>
                <w:szCs w:val="21"/>
                <w:color w:val="auto"/>
              </w:rPr>
            </w:pPr>
          </w:p>
        </w:tc>
        <w:tc>
          <w:tcPr>
            <w:tcW w:w="1180" w:type="dxa"/>
            <w:vAlign w:val="bottom"/>
            <w:tcBorders>
              <w:top w:val="single" w:sz="8" w:color="005BA5"/>
              <w:bottom w:val="single" w:sz="8" w:color="ACACAC"/>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20" w:type="dxa"/>
            <w:vAlign w:val="bottom"/>
            <w:tcBorders>
              <w:top w:val="single" w:sz="8" w:color="005BA5"/>
              <w:bottom w:val="single" w:sz="8" w:color="ACACAC"/>
            </w:tcBorders>
          </w:tcPr>
          <w:p>
            <w:pPr>
              <w:spacing w:after="0"/>
              <w:rPr>
                <w:sz w:val="21"/>
                <w:szCs w:val="21"/>
                <w:color w:val="auto"/>
              </w:rPr>
            </w:pPr>
          </w:p>
        </w:tc>
        <w:tc>
          <w:tcPr>
            <w:tcW w:w="220" w:type="dxa"/>
            <w:vAlign w:val="bottom"/>
            <w:tcBorders>
              <w:top w:val="single" w:sz="8" w:color="005BA5"/>
              <w:bottom w:val="single" w:sz="8" w:color="ACACAC"/>
            </w:tcBorders>
          </w:tcPr>
          <w:p>
            <w:pPr>
              <w:spacing w:after="0"/>
              <w:rPr>
                <w:sz w:val="21"/>
                <w:szCs w:val="21"/>
                <w:color w:val="auto"/>
              </w:rPr>
            </w:pPr>
          </w:p>
        </w:tc>
        <w:tc>
          <w:tcPr>
            <w:tcW w:w="1140" w:type="dxa"/>
            <w:vAlign w:val="bottom"/>
            <w:tcBorders>
              <w:top w:val="single" w:sz="8" w:color="005BA5"/>
              <w:bottom w:val="single" w:sz="8" w:color="ACACAC"/>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5"/>
        </w:trPr>
        <w:tc>
          <w:tcPr>
            <w:tcW w:w="8600" w:type="dxa"/>
            <w:vAlign w:val="bottom"/>
            <w:tcBorders>
              <w:bottom w:val="single" w:sz="8" w:color="auto"/>
            </w:tcBorders>
            <w:gridSpan w:val="20"/>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8600" w:type="dxa"/>
            <w:vAlign w:val="bottom"/>
            <w:tcBorders>
              <w:bottom w:val="single" w:sz="8" w:color="auto"/>
            </w:tcBorders>
            <w:gridSpan w:val="20"/>
          </w:tcPr>
          <w:p>
            <w:pPr>
              <w:ind w:left="40"/>
              <w:spacing w:after="0"/>
              <w:rPr>
                <w:sz w:val="20"/>
                <w:szCs w:val="20"/>
                <w:color w:val="auto"/>
              </w:rPr>
            </w:pPr>
            <w:r>
              <w:rPr>
                <w:rFonts w:ascii="Arial" w:cs="Arial" w:eastAsia="Arial" w:hAnsi="Arial"/>
                <w:sz w:val="16"/>
                <w:szCs w:val="16"/>
                <w:b w:val="1"/>
                <w:bCs w:val="1"/>
                <w:color w:val="auto"/>
              </w:rPr>
              <w:t>Quantitative information about the significant unobservable inputs used in Level 3 fair value measurements</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97"/>
              </w:rPr>
              <w:t>Valuation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spacing w:after="0"/>
              <w:rPr>
                <w:sz w:val="20"/>
                <w:szCs w:val="20"/>
                <w:color w:val="auto"/>
              </w:rPr>
            </w:pPr>
            <w:r>
              <w:rPr>
                <w:rFonts w:ascii="Arial" w:cs="Arial" w:eastAsia="Arial" w:hAnsi="Arial"/>
                <w:sz w:val="16"/>
                <w:szCs w:val="16"/>
                <w:b w:val="1"/>
                <w:bCs w:val="1"/>
                <w:color w:val="auto"/>
              </w:rPr>
              <w:t>Unobservable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67"/>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100" w:type="dxa"/>
            <w:vAlign w:val="bottom"/>
            <w:tcBorders>
              <w:bottom w:val="single" w:sz="8" w:color="005BA5"/>
            </w:tcBorders>
          </w:tcPr>
          <w:p>
            <w:pPr>
              <w:spacing w:after="0"/>
              <w:rPr>
                <w:sz w:val="20"/>
                <w:szCs w:val="20"/>
                <w:color w:val="auto"/>
              </w:rPr>
            </w:pPr>
          </w:p>
        </w:tc>
        <w:tc>
          <w:tcPr>
            <w:tcW w:w="120" w:type="dxa"/>
            <w:vAlign w:val="bottom"/>
            <w:tcBorders>
              <w:bottom w:val="single" w:sz="8" w:color="005BA5"/>
            </w:tcBorders>
          </w:tcPr>
          <w:p>
            <w:pPr>
              <w:spacing w:after="0"/>
              <w:rPr>
                <w:sz w:val="20"/>
                <w:szCs w:val="20"/>
                <w:color w:val="auto"/>
              </w:rPr>
            </w:pPr>
          </w:p>
        </w:tc>
        <w:tc>
          <w:tcPr>
            <w:tcW w:w="100" w:type="dxa"/>
            <w:vAlign w:val="bottom"/>
            <w:tcBorders>
              <w:bottom w:val="single" w:sz="8" w:color="005BA5"/>
            </w:tcBorders>
          </w:tcPr>
          <w:p>
            <w:pPr>
              <w:spacing w:after="0"/>
              <w:rPr>
                <w:sz w:val="20"/>
                <w:szCs w:val="20"/>
                <w:color w:val="auto"/>
              </w:rPr>
            </w:pPr>
          </w:p>
        </w:tc>
        <w:tc>
          <w:tcPr>
            <w:tcW w:w="1020" w:type="dxa"/>
            <w:vAlign w:val="bottom"/>
            <w:tcBorders>
              <w:bottom w:val="single" w:sz="8" w:color="005BA5"/>
            </w:tcBorders>
          </w:tcPr>
          <w:p>
            <w:pPr>
              <w:jc w:val="right"/>
              <w:ind w:right="226"/>
              <w:spacing w:after="0"/>
              <w:rPr>
                <w:sz w:val="20"/>
                <w:szCs w:val="20"/>
                <w:color w:val="auto"/>
              </w:rPr>
            </w:pPr>
            <w:r>
              <w:rPr>
                <w:rFonts w:ascii="Arial" w:cs="Arial" w:eastAsia="Arial" w:hAnsi="Arial"/>
                <w:sz w:val="16"/>
                <w:szCs w:val="16"/>
                <w:b w:val="1"/>
                <w:bCs w:val="1"/>
                <w:color w:val="auto"/>
                <w:w w:val="93"/>
              </w:rPr>
              <w:t>Fair value</w:t>
            </w:r>
          </w:p>
        </w:tc>
        <w:tc>
          <w:tcPr>
            <w:tcW w:w="40" w:type="dxa"/>
            <w:vAlign w:val="bottom"/>
            <w:tcBorders>
              <w:bottom w:val="single" w:sz="8" w:color="005BA5"/>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005BA5"/>
            </w:tcBorders>
          </w:tcPr>
          <w:p>
            <w:pPr>
              <w:spacing w:after="0"/>
              <w:rPr>
                <w:sz w:val="20"/>
                <w:szCs w:val="20"/>
                <w:color w:val="auto"/>
              </w:rPr>
            </w:pPr>
          </w:p>
        </w:tc>
        <w:tc>
          <w:tcPr>
            <w:tcW w:w="100" w:type="dxa"/>
            <w:vAlign w:val="bottom"/>
            <w:tcBorders>
              <w:bottom w:val="single" w:sz="8" w:color="005BA5"/>
            </w:tcBorders>
          </w:tcPr>
          <w:p>
            <w:pPr>
              <w:spacing w:after="0"/>
              <w:rPr>
                <w:sz w:val="20"/>
                <w:szCs w:val="20"/>
                <w:color w:val="auto"/>
              </w:rPr>
            </w:pPr>
          </w:p>
        </w:tc>
        <w:tc>
          <w:tcPr>
            <w:tcW w:w="740" w:type="dxa"/>
            <w:vAlign w:val="bottom"/>
            <w:tcBorders>
              <w:bottom w:val="single" w:sz="8" w:color="005BA5"/>
            </w:tcBorders>
          </w:tcPr>
          <w:p>
            <w:pPr>
              <w:jc w:val="right"/>
              <w:spacing w:after="0"/>
              <w:rPr>
                <w:sz w:val="20"/>
                <w:szCs w:val="20"/>
                <w:color w:val="auto"/>
              </w:rPr>
            </w:pPr>
            <w:r>
              <w:rPr>
                <w:rFonts w:ascii="Arial" w:cs="Arial" w:eastAsia="Arial" w:hAnsi="Arial"/>
                <w:sz w:val="16"/>
                <w:szCs w:val="16"/>
                <w:b w:val="1"/>
                <w:bCs w:val="1"/>
                <w:color w:val="auto"/>
                <w:w w:val="92"/>
              </w:rPr>
              <w:t>technique</w:t>
            </w:r>
          </w:p>
        </w:tc>
        <w:tc>
          <w:tcPr>
            <w:tcW w:w="340" w:type="dxa"/>
            <w:vAlign w:val="bottom"/>
            <w:tcBorders>
              <w:bottom w:val="single" w:sz="8" w:color="005BA5"/>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005BA5"/>
            </w:tcBorders>
          </w:tcPr>
          <w:p>
            <w:pPr>
              <w:spacing w:after="0"/>
              <w:rPr>
                <w:sz w:val="20"/>
                <w:szCs w:val="20"/>
                <w:color w:val="auto"/>
              </w:rPr>
            </w:pPr>
          </w:p>
        </w:tc>
        <w:tc>
          <w:tcPr>
            <w:tcW w:w="100" w:type="dxa"/>
            <w:vAlign w:val="bottom"/>
            <w:tcBorders>
              <w:bottom w:val="single" w:sz="8" w:color="005BA5"/>
            </w:tcBorders>
          </w:tcPr>
          <w:p>
            <w:pPr>
              <w:spacing w:after="0"/>
              <w:rPr>
                <w:sz w:val="20"/>
                <w:szCs w:val="20"/>
                <w:color w:val="auto"/>
              </w:rPr>
            </w:pPr>
          </w:p>
        </w:tc>
        <w:tc>
          <w:tcPr>
            <w:tcW w:w="100" w:type="dxa"/>
            <w:vAlign w:val="bottom"/>
            <w:tcBorders>
              <w:bottom w:val="single" w:sz="8" w:color="005BA5"/>
            </w:tcBorders>
          </w:tcPr>
          <w:p>
            <w:pPr>
              <w:spacing w:after="0"/>
              <w:rPr>
                <w:sz w:val="20"/>
                <w:szCs w:val="20"/>
                <w:color w:val="auto"/>
              </w:rPr>
            </w:pPr>
          </w:p>
        </w:tc>
        <w:tc>
          <w:tcPr>
            <w:tcW w:w="1280" w:type="dxa"/>
            <w:vAlign w:val="bottom"/>
            <w:tcBorders>
              <w:bottom w:val="single" w:sz="8" w:color="005BA5"/>
            </w:tcBorders>
          </w:tcPr>
          <w:p>
            <w:pPr>
              <w:jc w:val="right"/>
              <w:ind w:right="547"/>
              <w:spacing w:after="0"/>
              <w:rPr>
                <w:sz w:val="20"/>
                <w:szCs w:val="20"/>
                <w:color w:val="auto"/>
              </w:rPr>
            </w:pPr>
            <w:r>
              <w:rPr>
                <w:rFonts w:ascii="Arial" w:cs="Arial" w:eastAsia="Arial" w:hAnsi="Arial"/>
                <w:sz w:val="16"/>
                <w:szCs w:val="16"/>
                <w:b w:val="1"/>
                <w:bCs w:val="1"/>
                <w:color w:val="auto"/>
              </w:rPr>
              <w:t>input</w:t>
            </w:r>
          </w:p>
        </w:tc>
        <w:tc>
          <w:tcPr>
            <w:tcW w:w="100" w:type="dxa"/>
            <w:vAlign w:val="bottom"/>
            <w:gridSpan w:val="2"/>
          </w:tcPr>
          <w:p>
            <w:pPr>
              <w:spacing w:after="0"/>
              <w:rPr>
                <w:sz w:val="20"/>
                <w:szCs w:val="20"/>
                <w:color w:val="auto"/>
              </w:rPr>
            </w:pPr>
          </w:p>
        </w:tc>
        <w:tc>
          <w:tcPr>
            <w:tcW w:w="20" w:type="dxa"/>
            <w:vAlign w:val="bottom"/>
            <w:tcBorders>
              <w:bottom w:val="single" w:sz="8" w:color="005BA5"/>
            </w:tcBorders>
          </w:tcPr>
          <w:p>
            <w:pPr>
              <w:spacing w:after="0"/>
              <w:rPr>
                <w:sz w:val="20"/>
                <w:szCs w:val="20"/>
                <w:color w:val="auto"/>
              </w:rPr>
            </w:pPr>
          </w:p>
        </w:tc>
        <w:tc>
          <w:tcPr>
            <w:tcW w:w="160" w:type="dxa"/>
            <w:vAlign w:val="bottom"/>
            <w:tcBorders>
              <w:bottom w:val="single" w:sz="8" w:color="005BA5"/>
            </w:tcBorders>
          </w:tcPr>
          <w:p>
            <w:pPr>
              <w:spacing w:after="0"/>
              <w:rPr>
                <w:sz w:val="20"/>
                <w:szCs w:val="20"/>
                <w:color w:val="auto"/>
              </w:rPr>
            </w:pPr>
          </w:p>
        </w:tc>
        <w:tc>
          <w:tcPr>
            <w:tcW w:w="1180" w:type="dxa"/>
            <w:vAlign w:val="bottom"/>
            <w:tcBorders>
              <w:bottom w:val="single" w:sz="8" w:color="005BA5"/>
            </w:tcBorders>
          </w:tcPr>
          <w:p>
            <w:pPr>
              <w:jc w:val="center"/>
              <w:ind w:right="106"/>
              <w:spacing w:after="0"/>
              <w:rPr>
                <w:sz w:val="20"/>
                <w:szCs w:val="20"/>
                <w:color w:val="auto"/>
              </w:rPr>
            </w:pPr>
            <w:r>
              <w:rPr>
                <w:rFonts w:ascii="Arial" w:cs="Arial" w:eastAsia="Arial" w:hAnsi="Arial"/>
                <w:sz w:val="16"/>
                <w:szCs w:val="16"/>
                <w:b w:val="1"/>
                <w:bCs w:val="1"/>
                <w:color w:val="auto"/>
                <w:w w:val="89"/>
              </w:rPr>
              <w:t>Range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005BA5"/>
            </w:tcBorders>
          </w:tcPr>
          <w:p>
            <w:pPr>
              <w:spacing w:after="0"/>
              <w:rPr>
                <w:sz w:val="20"/>
                <w:szCs w:val="20"/>
                <w:color w:val="auto"/>
              </w:rPr>
            </w:pPr>
          </w:p>
        </w:tc>
        <w:tc>
          <w:tcPr>
            <w:tcW w:w="1140" w:type="dxa"/>
            <w:vAlign w:val="bottom"/>
            <w:tcBorders>
              <w:bottom w:val="single" w:sz="8" w:color="005BA5"/>
            </w:tcBorders>
          </w:tcPr>
          <w:p>
            <w:pPr>
              <w:jc w:val="center"/>
              <w:ind w:right="167"/>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23"/>
        </w:trPr>
        <w:tc>
          <w:tcPr>
            <w:tcW w:w="3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gridSpan w:val="2"/>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CACAC"/>
            </w:tcBorders>
            <w:gridSpan w:val="3"/>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80" w:type="dxa"/>
            <w:vAlign w:val="bottom"/>
            <w:tcBorders>
              <w:bottom w:val="single" w:sz="8" w:color="ACACAC"/>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CACAC"/>
            </w:tcBorders>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Derivatives embedded in life and annuity contracts –</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w w:val="89"/>
              </w:rPr>
              <w:t>Stochastic cash</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6"/>
          </w:tcPr>
          <w:p>
            <w:pPr>
              <w:ind w:left="40"/>
              <w:spacing w:after="0"/>
              <w:rPr>
                <w:sz w:val="20"/>
                <w:szCs w:val="20"/>
                <w:color w:val="auto"/>
              </w:rPr>
            </w:pPr>
            <w:r>
              <w:rPr>
                <w:rFonts w:ascii="Arial" w:cs="Arial" w:eastAsia="Arial" w:hAnsi="Arial"/>
                <w:sz w:val="16"/>
                <w:szCs w:val="16"/>
                <w:color w:val="auto"/>
              </w:rPr>
              <w:t>Projected option cost</w:t>
            </w:r>
          </w:p>
        </w:tc>
        <w:tc>
          <w:tcPr>
            <w:tcW w:w="160" w:type="dxa"/>
            <w:vAlign w:val="bottom"/>
          </w:tcPr>
          <w:p>
            <w:pPr>
              <w:spacing w:after="0"/>
              <w:rPr>
                <w:sz w:val="18"/>
                <w:szCs w:val="18"/>
                <w:color w:val="auto"/>
              </w:rPr>
            </w:pPr>
          </w:p>
        </w:tc>
        <w:tc>
          <w:tcPr>
            <w:tcW w:w="1180" w:type="dxa"/>
            <w:vAlign w:val="bottom"/>
          </w:tcPr>
          <w:p>
            <w:pPr>
              <w:jc w:val="center"/>
              <w:ind w:right="106"/>
              <w:spacing w:after="0"/>
              <w:rPr>
                <w:sz w:val="20"/>
                <w:szCs w:val="20"/>
                <w:color w:val="auto"/>
              </w:rPr>
            </w:pPr>
            <w:r>
              <w:rPr>
                <w:rFonts w:ascii="Arial" w:cs="Arial" w:eastAsia="Arial" w:hAnsi="Arial"/>
                <w:sz w:val="16"/>
                <w:szCs w:val="16"/>
                <w:color w:val="auto"/>
                <w:w w:val="93"/>
              </w:rPr>
              <w:t>1.0 - 2.2%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67"/>
              <w:spacing w:after="0"/>
              <w:rPr>
                <w:sz w:val="20"/>
                <w:szCs w:val="20"/>
                <w:color w:val="auto"/>
              </w:rPr>
            </w:pPr>
            <w:r>
              <w:rPr>
                <w:rFonts w:ascii="Arial" w:cs="Arial" w:eastAsia="Arial" w:hAnsi="Arial"/>
                <w:sz w:val="16"/>
                <w:szCs w:val="16"/>
                <w:color w:val="auto"/>
                <w:w w:val="92"/>
              </w:rPr>
              <w:t>1.74%</w:t>
            </w:r>
          </w:p>
        </w:tc>
        <w:tc>
          <w:tcPr>
            <w:tcW w:w="0" w:type="dxa"/>
            <w:vAlign w:val="bottom"/>
          </w:tcPr>
          <w:p>
            <w:pPr>
              <w:spacing w:after="0"/>
              <w:rPr>
                <w:sz w:val="1"/>
                <w:szCs w:val="1"/>
                <w:color w:val="auto"/>
              </w:rPr>
            </w:pPr>
          </w:p>
        </w:tc>
      </w:tr>
      <w:tr>
        <w:trPr>
          <w:trHeight w:val="206"/>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Equity-indexed and forward starting 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186"/>
              <w:spacing w:after="0"/>
              <w:rPr>
                <w:sz w:val="20"/>
                <w:szCs w:val="20"/>
                <w:color w:val="auto"/>
              </w:rPr>
            </w:pPr>
            <w:r>
              <w:rPr>
                <w:rFonts w:ascii="Arial" w:cs="Arial" w:eastAsia="Arial" w:hAnsi="Arial"/>
                <w:sz w:val="16"/>
                <w:szCs w:val="16"/>
                <w:color w:val="auto"/>
                <w:w w:val="96"/>
              </w:rPr>
              <w:t>flow model</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9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8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CACAC"/>
              <w:bottom w:val="single" w:sz="8" w:color="ACACAC"/>
            </w:tcBorders>
          </w:tcPr>
          <w:p>
            <w:pPr>
              <w:spacing w:after="0"/>
              <w:rPr>
                <w:sz w:val="22"/>
                <w:szCs w:val="22"/>
                <w:color w:val="auto"/>
              </w:rPr>
            </w:pPr>
          </w:p>
        </w:tc>
        <w:tc>
          <w:tcPr>
            <w:tcW w:w="120" w:type="dxa"/>
            <w:vAlign w:val="bottom"/>
            <w:tcBorders>
              <w:top w:val="single" w:sz="8" w:color="ACACAC"/>
              <w:bottom w:val="single" w:sz="8" w:color="ACACAC"/>
            </w:tcBorders>
          </w:tcPr>
          <w:p>
            <w:pPr>
              <w:spacing w:after="0"/>
              <w:rPr>
                <w:sz w:val="22"/>
                <w:szCs w:val="22"/>
                <w:color w:val="auto"/>
              </w:rPr>
            </w:pPr>
          </w:p>
        </w:tc>
        <w:tc>
          <w:tcPr>
            <w:tcW w:w="100" w:type="dxa"/>
            <w:vAlign w:val="bottom"/>
            <w:tcBorders>
              <w:top w:val="single" w:sz="8" w:color="ACACAC"/>
              <w:bottom w:val="single" w:sz="8" w:color="ACACAC"/>
            </w:tcBorders>
          </w:tcPr>
          <w:p>
            <w:pPr>
              <w:spacing w:after="0"/>
              <w:rPr>
                <w:sz w:val="22"/>
                <w:szCs w:val="22"/>
                <w:color w:val="auto"/>
              </w:rPr>
            </w:pPr>
          </w:p>
        </w:tc>
        <w:tc>
          <w:tcPr>
            <w:tcW w:w="1020" w:type="dxa"/>
            <w:vAlign w:val="bottom"/>
            <w:tcBorders>
              <w:top w:val="single" w:sz="8" w:color="ACACAC"/>
              <w:bottom w:val="single" w:sz="8" w:color="ACACAC"/>
            </w:tcBorders>
          </w:tcPr>
          <w:p>
            <w:pPr>
              <w:spacing w:after="0"/>
              <w:rPr>
                <w:sz w:val="22"/>
                <w:szCs w:val="22"/>
                <w:color w:val="auto"/>
              </w:rPr>
            </w:pPr>
          </w:p>
        </w:tc>
        <w:tc>
          <w:tcPr>
            <w:tcW w:w="40" w:type="dxa"/>
            <w:vAlign w:val="bottom"/>
            <w:tcBorders>
              <w:top w:val="single" w:sz="8" w:color="ACACAC"/>
              <w:bottom w:val="single" w:sz="8" w:color="ACACAC"/>
            </w:tcBorders>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Borders>
              <w:top w:val="single" w:sz="8" w:color="ACACAC"/>
              <w:bottom w:val="single" w:sz="8" w:color="ACACAC"/>
            </w:tcBorders>
          </w:tcPr>
          <w:p>
            <w:pPr>
              <w:spacing w:after="0"/>
              <w:rPr>
                <w:sz w:val="22"/>
                <w:szCs w:val="22"/>
                <w:color w:val="auto"/>
              </w:rPr>
            </w:pPr>
          </w:p>
        </w:tc>
        <w:tc>
          <w:tcPr>
            <w:tcW w:w="100" w:type="dxa"/>
            <w:vAlign w:val="bottom"/>
            <w:tcBorders>
              <w:top w:val="single" w:sz="8" w:color="ACACAC"/>
              <w:bottom w:val="single" w:sz="8" w:color="ACACAC"/>
            </w:tcBorders>
          </w:tcPr>
          <w:p>
            <w:pPr>
              <w:spacing w:after="0"/>
              <w:rPr>
                <w:sz w:val="22"/>
                <w:szCs w:val="22"/>
                <w:color w:val="auto"/>
              </w:rPr>
            </w:pPr>
          </w:p>
        </w:tc>
        <w:tc>
          <w:tcPr>
            <w:tcW w:w="740" w:type="dxa"/>
            <w:vAlign w:val="bottom"/>
            <w:tcBorders>
              <w:top w:val="single" w:sz="8" w:color="ACACAC"/>
              <w:bottom w:val="single" w:sz="8" w:color="ACACAC"/>
            </w:tcBorders>
          </w:tcPr>
          <w:p>
            <w:pPr>
              <w:spacing w:after="0"/>
              <w:rPr>
                <w:sz w:val="22"/>
                <w:szCs w:val="22"/>
                <w:color w:val="auto"/>
              </w:rPr>
            </w:pPr>
          </w:p>
        </w:tc>
        <w:tc>
          <w:tcPr>
            <w:tcW w:w="34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CACAC"/>
              <w:bottom w:val="single" w:sz="8" w:color="ACACAC"/>
            </w:tcBorders>
          </w:tcPr>
          <w:p>
            <w:pPr>
              <w:spacing w:after="0"/>
              <w:rPr>
                <w:sz w:val="22"/>
                <w:szCs w:val="22"/>
                <w:color w:val="auto"/>
              </w:rPr>
            </w:pPr>
          </w:p>
        </w:tc>
        <w:tc>
          <w:tcPr>
            <w:tcW w:w="100" w:type="dxa"/>
            <w:vAlign w:val="bottom"/>
            <w:tcBorders>
              <w:top w:val="single" w:sz="8" w:color="ACACAC"/>
              <w:bottom w:val="single" w:sz="8" w:color="ACACAC"/>
            </w:tcBorders>
          </w:tcPr>
          <w:p>
            <w:pPr>
              <w:spacing w:after="0"/>
              <w:rPr>
                <w:sz w:val="22"/>
                <w:szCs w:val="22"/>
                <w:color w:val="auto"/>
              </w:rPr>
            </w:pPr>
          </w:p>
        </w:tc>
        <w:tc>
          <w:tcPr>
            <w:tcW w:w="100" w:type="dxa"/>
            <w:vAlign w:val="bottom"/>
            <w:tcBorders>
              <w:top w:val="single" w:sz="8" w:color="ACACAC"/>
              <w:bottom w:val="single" w:sz="8" w:color="ACACAC"/>
            </w:tcBorders>
          </w:tcPr>
          <w:p>
            <w:pPr>
              <w:spacing w:after="0"/>
              <w:rPr>
                <w:sz w:val="22"/>
                <w:szCs w:val="22"/>
                <w:color w:val="auto"/>
              </w:rPr>
            </w:pPr>
          </w:p>
        </w:tc>
        <w:tc>
          <w:tcPr>
            <w:tcW w:w="1280" w:type="dxa"/>
            <w:vAlign w:val="bottom"/>
            <w:tcBorders>
              <w:top w:val="single" w:sz="8" w:color="ACACAC"/>
              <w:bottom w:val="single" w:sz="8" w:color="ACACAC"/>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CACAC"/>
              <w:bottom w:val="single" w:sz="8" w:color="ACACAC"/>
            </w:tcBorders>
          </w:tcPr>
          <w:p>
            <w:pPr>
              <w:spacing w:after="0"/>
              <w:rPr>
                <w:sz w:val="22"/>
                <w:szCs w:val="22"/>
                <w:color w:val="auto"/>
              </w:rPr>
            </w:pPr>
          </w:p>
        </w:tc>
        <w:tc>
          <w:tcPr>
            <w:tcW w:w="160" w:type="dxa"/>
            <w:vAlign w:val="bottom"/>
            <w:tcBorders>
              <w:top w:val="single" w:sz="8" w:color="ACACAC"/>
              <w:bottom w:val="single" w:sz="8" w:color="ACACAC"/>
            </w:tcBorders>
          </w:tcPr>
          <w:p>
            <w:pPr>
              <w:spacing w:after="0"/>
              <w:rPr>
                <w:sz w:val="22"/>
                <w:szCs w:val="22"/>
                <w:color w:val="auto"/>
              </w:rPr>
            </w:pPr>
          </w:p>
        </w:tc>
        <w:tc>
          <w:tcPr>
            <w:tcW w:w="118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CACAC"/>
              <w:bottom w:val="single" w:sz="8" w:color="ACACAC"/>
            </w:tcBorders>
          </w:tcPr>
          <w:p>
            <w:pPr>
              <w:spacing w:after="0"/>
              <w:rPr>
                <w:sz w:val="22"/>
                <w:szCs w:val="22"/>
                <w:color w:val="auto"/>
              </w:rPr>
            </w:pPr>
          </w:p>
        </w:tc>
        <w:tc>
          <w:tcPr>
            <w:tcW w:w="1140" w:type="dxa"/>
            <w:vAlign w:val="bottom"/>
            <w:tcBorders>
              <w:top w:val="single" w:sz="8" w:color="ACACAC"/>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December 31, 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gridSpan w:val="2"/>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CACAC"/>
            </w:tcBorders>
            <w:gridSpan w:val="3"/>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480" w:type="dxa"/>
            <w:vAlign w:val="bottom"/>
            <w:tcBorders>
              <w:bottom w:val="single" w:sz="8" w:color="ACACAC"/>
            </w:tcBorders>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ACACAC"/>
            </w:tcBorders>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Derivatives embedded in life and annuity contracts –</w:t>
            </w:r>
          </w:p>
        </w:tc>
        <w:tc>
          <w:tcPr>
            <w:tcW w:w="22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6"/>
                <w:szCs w:val="16"/>
                <w:color w:val="auto"/>
                <w:w w:val="89"/>
              </w:rPr>
              <w:t>Stochastic cash</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6"/>
          </w:tcPr>
          <w:p>
            <w:pPr>
              <w:ind w:left="40"/>
              <w:spacing w:after="0"/>
              <w:rPr>
                <w:sz w:val="20"/>
                <w:szCs w:val="20"/>
                <w:color w:val="auto"/>
              </w:rPr>
            </w:pPr>
            <w:r>
              <w:rPr>
                <w:rFonts w:ascii="Arial" w:cs="Arial" w:eastAsia="Arial" w:hAnsi="Arial"/>
                <w:sz w:val="16"/>
                <w:szCs w:val="16"/>
                <w:color w:val="auto"/>
              </w:rPr>
              <w:t>Projected option cost</w:t>
            </w:r>
          </w:p>
        </w:tc>
        <w:tc>
          <w:tcPr>
            <w:tcW w:w="160" w:type="dxa"/>
            <w:vAlign w:val="bottom"/>
          </w:tcPr>
          <w:p>
            <w:pPr>
              <w:spacing w:after="0"/>
              <w:rPr>
                <w:sz w:val="18"/>
                <w:szCs w:val="18"/>
                <w:color w:val="auto"/>
              </w:rPr>
            </w:pPr>
          </w:p>
        </w:tc>
        <w:tc>
          <w:tcPr>
            <w:tcW w:w="1180" w:type="dxa"/>
            <w:vAlign w:val="bottom"/>
          </w:tcPr>
          <w:p>
            <w:pPr>
              <w:jc w:val="center"/>
              <w:ind w:right="106"/>
              <w:spacing w:after="0"/>
              <w:rPr>
                <w:sz w:val="20"/>
                <w:szCs w:val="20"/>
                <w:color w:val="auto"/>
              </w:rPr>
            </w:pPr>
            <w:r>
              <w:rPr>
                <w:rFonts w:ascii="Arial" w:cs="Arial" w:eastAsia="Arial" w:hAnsi="Arial"/>
                <w:sz w:val="16"/>
                <w:szCs w:val="16"/>
                <w:color w:val="auto"/>
                <w:w w:val="93"/>
              </w:rPr>
              <w:t>1.0 - 2.2%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67"/>
              <w:spacing w:after="0"/>
              <w:rPr>
                <w:sz w:val="20"/>
                <w:szCs w:val="20"/>
                <w:color w:val="auto"/>
              </w:rPr>
            </w:pPr>
            <w:r>
              <w:rPr>
                <w:rFonts w:ascii="Arial" w:cs="Arial" w:eastAsia="Arial" w:hAnsi="Arial"/>
                <w:sz w:val="16"/>
                <w:szCs w:val="16"/>
                <w:color w:val="auto"/>
                <w:w w:val="92"/>
              </w:rPr>
              <w:t>1.74%</w:t>
            </w:r>
          </w:p>
        </w:tc>
        <w:tc>
          <w:tcPr>
            <w:tcW w:w="0" w:type="dxa"/>
            <w:vAlign w:val="bottom"/>
          </w:tcPr>
          <w:p>
            <w:pPr>
              <w:spacing w:after="0"/>
              <w:rPr>
                <w:sz w:val="1"/>
                <w:szCs w:val="1"/>
                <w:color w:val="auto"/>
              </w:rPr>
            </w:pPr>
          </w:p>
        </w:tc>
      </w:tr>
      <w:tr>
        <w:trPr>
          <w:trHeight w:val="206"/>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Equity-indexed and forward starting options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3"/>
          </w:tcPr>
          <w:p>
            <w:pPr>
              <w:jc w:val="right"/>
              <w:ind w:right="186"/>
              <w:spacing w:after="0"/>
              <w:rPr>
                <w:sz w:val="20"/>
                <w:szCs w:val="20"/>
                <w:color w:val="auto"/>
              </w:rPr>
            </w:pPr>
            <w:r>
              <w:rPr>
                <w:rFonts w:ascii="Arial" w:cs="Arial" w:eastAsia="Arial" w:hAnsi="Arial"/>
                <w:sz w:val="16"/>
                <w:szCs w:val="16"/>
                <w:color w:val="auto"/>
                <w:w w:val="96"/>
              </w:rPr>
              <w:t>flow model</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7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4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740" w:type="dxa"/>
            <w:vAlign w:val="bottom"/>
            <w:tcBorders>
              <w:bottom w:val="single" w:sz="8" w:color="005BA5"/>
            </w:tcBorders>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80" w:type="dxa"/>
            <w:vAlign w:val="bottom"/>
            <w:tcBorders>
              <w:bottom w:val="single" w:sz="8" w:color="005BA5"/>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5BA5"/>
            </w:tcBorders>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1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917" w:gutter="0" w:footer="0" w:header="0"/>
        </w:sectPr>
      </w:pPr>
    </w:p>
    <w:p>
      <w:pPr>
        <w:spacing w:after="0" w:line="126" w:lineRule="exact"/>
        <w:rPr>
          <w:sz w:val="20"/>
          <w:szCs w:val="20"/>
          <w:color w:val="auto"/>
        </w:rPr>
      </w:pPr>
    </w:p>
    <w:p>
      <w:pPr>
        <w:jc w:val="both"/>
        <w:ind w:right="360" w:firstLine="324"/>
        <w:spacing w:after="0" w:line="250" w:lineRule="auto"/>
        <w:rPr>
          <w:sz w:val="20"/>
          <w:szCs w:val="20"/>
          <w:color w:val="auto"/>
        </w:rPr>
      </w:pPr>
      <w:r>
        <w:rPr>
          <w:rFonts w:ascii="Arial" w:cs="Arial" w:eastAsia="Arial" w:hAnsi="Arial"/>
          <w:sz w:val="16"/>
          <w:szCs w:val="16"/>
          <w:color w:val="auto"/>
        </w:rPr>
        <w:t>The embedded derivatives are equity-indexed and forward starting options in certain life and annuity products that provide customers with interest crediting rates based on the performance of the S&amp;P 500. If the projected option cost increased (decreased), it would result in a higher (lower) liability fair value.</w:t>
      </w:r>
    </w:p>
    <w:p>
      <w:pPr>
        <w:spacing w:after="0" w:line="95"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As of March 31, 2019 and December 31, 2018, Level 3 fair value measurements of fixed income securities total $370 million and $325 million, respectively, and include $127 million and $105 million, respectively, of securities valued based on non-binding broker quotes where the inputs have not been corroborated to be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market observable and $41 million and $44 million, respectively, of municipal fixed income securities that are not rated by third party credit rating agencies. The Company does not develop the unobservable inputs used in measuring fair value; therefore, these are not included in the table above. However, an increase (decrease) in credit spreads for fixed income securities valued based on non-binding broker quotes would result in a lower (higher) fair value, and an increase (decrease) in the credit rating of municipal bonds that are not rated by third party credit rating agencies would result in a higher (lower) fair value.</w:t>
      </w:r>
    </w:p>
    <w:p>
      <w:pPr>
        <w:spacing w:after="0" w:line="500" w:lineRule="exact"/>
        <w:rPr>
          <w:sz w:val="20"/>
          <w:szCs w:val="20"/>
          <w:color w:val="auto"/>
        </w:rPr>
      </w:pPr>
    </w:p>
    <w:p>
      <w:pPr>
        <w:sectPr>
          <w:pgSz w:w="11900" w:h="16838" w:orient="portrait"/>
          <w:cols w:equalWidth="0" w:num="2">
            <w:col w:w="5480" w:space="460"/>
            <w:col w:w="5480"/>
          </w:cols>
          <w:pgMar w:left="240" w:top="141" w:right="239" w:bottom="917" w:gutter="0" w:footer="0" w:header="0"/>
          <w:type w:val="continuous"/>
        </w:sectPr>
      </w:pPr>
    </w:p>
    <w:p>
      <w:pPr>
        <w:spacing w:after="0" w:line="138"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27</w:t>
      </w:r>
    </w:p>
    <w:p>
      <w:pPr>
        <w:sectPr>
          <w:pgSz w:w="11900" w:h="16838" w:orient="portrait"/>
          <w:cols w:equalWidth="0" w:num="1">
            <w:col w:w="11420"/>
          </w:cols>
          <w:pgMar w:left="240" w:top="141" w:right="239" w:bottom="917"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0834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40" w:type="dxa"/>
            <w:vAlign w:val="bottom"/>
            <w:gridSpan w:val="9"/>
          </w:tcPr>
          <w:p>
            <w:pPr>
              <w:ind w:left="40"/>
              <w:spacing w:after="0"/>
              <w:rPr>
                <w:sz w:val="20"/>
                <w:szCs w:val="20"/>
                <w:color w:val="auto"/>
              </w:rPr>
            </w:pPr>
            <w:r>
              <w:rPr>
                <w:rFonts w:ascii="Arial" w:cs="Arial" w:eastAsia="Arial" w:hAnsi="Arial"/>
                <w:sz w:val="15"/>
                <w:szCs w:val="15"/>
                <w:b w:val="1"/>
                <w:bCs w:val="1"/>
                <w:color w:val="auto"/>
              </w:rPr>
              <w:t>Rollforward of Level 3 assets and liabilities at fair value during the three month period ended March 31, 2019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3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w w:val="96"/>
              </w:rPr>
              <w:t>Total gains (losses) included 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left="219"/>
              <w:spacing w:after="0"/>
              <w:rPr>
                <w:sz w:val="20"/>
                <w:szCs w:val="20"/>
                <w:color w:val="auto"/>
              </w:rPr>
            </w:pPr>
            <w:r>
              <w:rPr>
                <w:rFonts w:ascii="Arial" w:cs="Arial" w:eastAsia="Arial" w:hAnsi="Arial"/>
                <w:sz w:val="16"/>
                <w:szCs w:val="16"/>
                <w:b w:val="1"/>
                <w:bCs w:val="1"/>
                <w:color w:val="auto"/>
                <w:w w:val="90"/>
              </w:rPr>
              <w:t>Transfers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Transfers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5"/>
                <w:szCs w:val="15"/>
                <w:b w:val="1"/>
                <w:bCs w:val="1"/>
                <w:color w:val="auto"/>
                <w:w w:val="88"/>
              </w:rPr>
              <w:t>Balance as of</w:t>
            </w:r>
          </w:p>
        </w:tc>
        <w:tc>
          <w:tcPr>
            <w:tcW w:w="16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vMerge w:val="restart"/>
          </w:tcPr>
          <w:p>
            <w:pPr>
              <w:jc w:val="center"/>
              <w:ind w:left="199"/>
              <w:spacing w:after="0"/>
              <w:rPr>
                <w:sz w:val="20"/>
                <w:szCs w:val="20"/>
                <w:color w:val="auto"/>
              </w:rPr>
            </w:pPr>
            <w:r>
              <w:rPr>
                <w:rFonts w:ascii="Arial" w:cs="Arial" w:eastAsia="Arial" w:hAnsi="Arial"/>
                <w:sz w:val="16"/>
                <w:szCs w:val="16"/>
                <w:b w:val="1"/>
                <w:bCs w:val="1"/>
                <w:color w:val="auto"/>
                <w:w w:val="95"/>
              </w:rPr>
              <w:t>into</w:t>
            </w:r>
          </w:p>
        </w:tc>
        <w:tc>
          <w:tcPr>
            <w:tcW w:w="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89"/>
              </w:rPr>
              <w:t>out of</w:t>
            </w: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3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36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 in millions)</w:t>
            </w:r>
          </w:p>
        </w:tc>
        <w:tc>
          <w:tcPr>
            <w:tcW w:w="1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restart"/>
          </w:tcPr>
          <w:p>
            <w:pPr>
              <w:jc w:val="right"/>
              <w:ind w:right="119"/>
              <w:spacing w:after="0" w:line="244" w:lineRule="exact"/>
              <w:rPr>
                <w:sz w:val="20"/>
                <w:szCs w:val="20"/>
                <w:color w:val="auto"/>
              </w:rPr>
            </w:pPr>
            <w:r>
              <w:rPr>
                <w:rFonts w:ascii="Arial" w:cs="Arial" w:eastAsia="Arial" w:hAnsi="Arial"/>
                <w:sz w:val="16"/>
                <w:szCs w:val="16"/>
                <w:b w:val="1"/>
                <w:bCs w:val="1"/>
                <w:color w:val="auto"/>
                <w:w w:val="88"/>
              </w:rPr>
              <w:t xml:space="preserve">Net income </w:t>
            </w:r>
            <w:r>
              <w:rPr>
                <w:rFonts w:ascii="Arial" w:cs="Arial" w:eastAsia="Arial" w:hAnsi="Arial"/>
                <w:sz w:val="27"/>
                <w:szCs w:val="27"/>
                <w:color w:val="005BA5"/>
                <w:w w:val="88"/>
                <w:vertAlign w:val="superscript"/>
              </w:rPr>
              <w:t>(1)</w:t>
            </w:r>
          </w:p>
        </w:tc>
        <w:tc>
          <w:tcPr>
            <w:tcW w:w="100" w:type="dxa"/>
            <w:vAlign w:val="bottom"/>
            <w:vMerge w:val="restart"/>
          </w:tcPr>
          <w:p>
            <w:pPr>
              <w:spacing w:after="0"/>
              <w:rPr>
                <w:sz w:val="2"/>
                <w:szCs w:val="2"/>
                <w:color w:val="auto"/>
              </w:rPr>
            </w:pPr>
          </w:p>
        </w:tc>
        <w:tc>
          <w:tcPr>
            <w:tcW w:w="10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OCI</w:t>
            </w: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vMerge w:val="restart"/>
          </w:tcPr>
          <w:p>
            <w:pPr>
              <w:jc w:val="center"/>
              <w:ind w:left="219"/>
              <w:spacing w:after="0"/>
              <w:rPr>
                <w:sz w:val="20"/>
                <w:szCs w:val="20"/>
                <w:color w:val="auto"/>
              </w:rPr>
            </w:pPr>
            <w:r>
              <w:rPr>
                <w:rFonts w:ascii="Arial" w:cs="Arial" w:eastAsia="Arial" w:hAnsi="Arial"/>
                <w:sz w:val="16"/>
                <w:szCs w:val="16"/>
                <w:b w:val="1"/>
                <w:bCs w:val="1"/>
                <w:color w:val="auto"/>
                <w:w w:val="92"/>
              </w:rPr>
              <w:t>Level 3</w:t>
            </w: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2"/>
              </w:rPr>
              <w:t>Level 3</w:t>
            </w: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tcBorders>
              <w:bottom w:val="single" w:sz="8" w:color="005BA5"/>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0" w:type="dxa"/>
            <w:vAlign w:val="bottom"/>
            <w:tcBorders>
              <w:bottom w:val="single" w:sz="8" w:color="005BA5"/>
            </w:tcBorders>
            <w:gridSpan w:val="2"/>
          </w:tcPr>
          <w:p>
            <w:pPr>
              <w:jc w:val="center"/>
              <w:spacing w:after="0"/>
              <w:rPr>
                <w:sz w:val="20"/>
                <w:szCs w:val="20"/>
                <w:color w:val="auto"/>
              </w:rPr>
            </w:pPr>
            <w:r>
              <w:rPr>
                <w:rFonts w:ascii="Arial" w:cs="Arial" w:eastAsia="Arial" w:hAnsi="Arial"/>
                <w:sz w:val="15"/>
                <w:szCs w:val="15"/>
                <w:b w:val="1"/>
                <w:bCs w:val="1"/>
                <w:color w:val="auto"/>
                <w:w w:val="93"/>
              </w:rPr>
              <w:t>December 31, 2018</w:t>
            </w:r>
          </w:p>
        </w:tc>
        <w:tc>
          <w:tcPr>
            <w:tcW w:w="120" w:type="dxa"/>
            <w:vAlign w:val="bottom"/>
          </w:tcPr>
          <w:p>
            <w:pPr>
              <w:spacing w:after="0"/>
              <w:rPr>
                <w:sz w:val="18"/>
                <w:szCs w:val="18"/>
                <w:color w:val="auto"/>
              </w:rPr>
            </w:pPr>
          </w:p>
        </w:tc>
        <w:tc>
          <w:tcPr>
            <w:tcW w:w="160" w:type="dxa"/>
            <w:vAlign w:val="bottom"/>
            <w:tcBorders>
              <w:bottom w:val="single" w:sz="8" w:color="005BA5"/>
            </w:tcBorders>
          </w:tcPr>
          <w:p>
            <w:pPr>
              <w:spacing w:after="0"/>
              <w:rPr>
                <w:sz w:val="18"/>
                <w:szCs w:val="18"/>
                <w:color w:val="auto"/>
              </w:rPr>
            </w:pPr>
          </w:p>
        </w:tc>
        <w:tc>
          <w:tcPr>
            <w:tcW w:w="1220" w:type="dxa"/>
            <w:vAlign w:val="bottom"/>
            <w:tcBorders>
              <w:bottom w:val="single" w:sz="8" w:color="005BA5"/>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60" w:type="dxa"/>
            <w:vAlign w:val="bottom"/>
            <w:tcBorders>
              <w:bottom w:val="single" w:sz="8" w:color="005BA5"/>
            </w:tcBorders>
            <w:vMerge w:val="continue"/>
          </w:tcPr>
          <w:p>
            <w:pPr>
              <w:spacing w:after="0"/>
              <w:rPr>
                <w:sz w:val="18"/>
                <w:szCs w:val="18"/>
                <w:color w:val="auto"/>
              </w:rPr>
            </w:pPr>
          </w:p>
        </w:tc>
        <w:tc>
          <w:tcPr>
            <w:tcW w:w="300" w:type="dxa"/>
            <w:vAlign w:val="bottom"/>
            <w:tcBorders>
              <w:bottom w:val="single" w:sz="8" w:color="005BA5"/>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005BA5"/>
            </w:tcBorders>
            <w:vMerge w:val="continue"/>
          </w:tcPr>
          <w:p>
            <w:pPr>
              <w:spacing w:after="0"/>
              <w:rPr>
                <w:sz w:val="18"/>
                <w:szCs w:val="18"/>
                <w:color w:val="auto"/>
              </w:rPr>
            </w:pPr>
          </w:p>
        </w:tc>
        <w:tc>
          <w:tcPr>
            <w:tcW w:w="280" w:type="dxa"/>
            <w:vAlign w:val="bottom"/>
            <w:tcBorders>
              <w:bottom w:val="single" w:sz="8" w:color="005BA5"/>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005BA5"/>
            </w:tcBorders>
          </w:tcPr>
          <w:p>
            <w:pPr>
              <w:spacing w:after="0"/>
              <w:rPr>
                <w:sz w:val="18"/>
                <w:szCs w:val="18"/>
                <w:color w:val="auto"/>
              </w:rPr>
            </w:pPr>
          </w:p>
        </w:tc>
        <w:tc>
          <w:tcPr>
            <w:tcW w:w="1200" w:type="dxa"/>
            <w:vAlign w:val="bottom"/>
            <w:tcBorders>
              <w:bottom w:val="single" w:sz="8" w:color="005BA5"/>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Fixed income securities: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Municipal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Corporate - public</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Corporate - privately placed</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w w:val="78"/>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ABS - CDO</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ABS - consumer and other</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CMBS</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fixed income securities</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325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w w:val="78"/>
              </w:rPr>
              <w:t>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Free-standing derivatives, net</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recurring Level 3 assets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697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26</w:t>
            </w:r>
          </w:p>
        </w:tc>
        <w:tc>
          <w:tcPr>
            <w:tcW w:w="100" w:type="dxa"/>
            <w:vAlign w:val="bottom"/>
          </w:tcPr>
          <w:p>
            <w:pPr>
              <w:spacing w:after="0"/>
              <w:rPr>
                <w:sz w:val="18"/>
                <w:szCs w:val="18"/>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w w:val="78"/>
              </w:rPr>
              <w:t>18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CACAC"/>
            </w:tcBorders>
          </w:tcPr>
          <w:p>
            <w:pPr>
              <w:spacing w:after="0"/>
              <w:rPr>
                <w:sz w:val="4"/>
                <w:szCs w:val="4"/>
                <w:color w:val="auto"/>
              </w:rPr>
            </w:pPr>
          </w:p>
        </w:tc>
        <w:tc>
          <w:tcPr>
            <w:tcW w:w="120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CACAC"/>
            </w:tcBorders>
          </w:tcPr>
          <w:p>
            <w:pPr>
              <w:spacing w:after="0"/>
              <w:rPr>
                <w:sz w:val="4"/>
                <w:szCs w:val="4"/>
                <w:color w:val="auto"/>
              </w:rPr>
            </w:pPr>
          </w:p>
        </w:tc>
        <w:tc>
          <w:tcPr>
            <w:tcW w:w="122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ACACAC"/>
            </w:tcBorders>
          </w:tcPr>
          <w:p>
            <w:pPr>
              <w:spacing w:after="0"/>
              <w:rPr>
                <w:sz w:val="4"/>
                <w:szCs w:val="4"/>
                <w:color w:val="auto"/>
              </w:rPr>
            </w:pPr>
          </w:p>
        </w:tc>
        <w:tc>
          <w:tcPr>
            <w:tcW w:w="30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CACAC"/>
            </w:tcBorders>
          </w:tcPr>
          <w:p>
            <w:pPr>
              <w:spacing w:after="0"/>
              <w:rPr>
                <w:sz w:val="4"/>
                <w:szCs w:val="4"/>
                <w:color w:val="auto"/>
              </w:rPr>
            </w:pPr>
          </w:p>
        </w:tc>
        <w:tc>
          <w:tcPr>
            <w:tcW w:w="28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CACAC"/>
            </w:tcBorders>
          </w:tcPr>
          <w:p>
            <w:pPr>
              <w:spacing w:after="0"/>
              <w:rPr>
                <w:sz w:val="4"/>
                <w:szCs w:val="4"/>
                <w:color w:val="auto"/>
              </w:rPr>
            </w:pPr>
          </w:p>
        </w:tc>
        <w:tc>
          <w:tcPr>
            <w:tcW w:w="1200" w:type="dxa"/>
            <w:vAlign w:val="bottom"/>
            <w:tcBorders>
              <w:bottom w:val="single" w:sz="8" w:color="ACACAC"/>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3780" w:type="dxa"/>
            <w:vAlign w:val="bottom"/>
            <w:gridSpan w:val="2"/>
          </w:tcPr>
          <w:p>
            <w:pPr>
              <w:ind w:left="180"/>
              <w:spacing w:after="0"/>
              <w:rPr>
                <w:sz w:val="20"/>
                <w:szCs w:val="20"/>
                <w:color w:val="auto"/>
              </w:rPr>
            </w:pPr>
            <w:r>
              <w:rPr>
                <w:rFonts w:ascii="Arial" w:cs="Arial" w:eastAsia="Arial" w:hAnsi="Arial"/>
                <w:sz w:val="16"/>
                <w:szCs w:val="16"/>
                <w:color w:val="auto"/>
                <w:w w:val="99"/>
              </w:rPr>
              <w:t>Contractholder funds: Derivatives embedded in life</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and annuity contracts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recurring Level 3 liabilities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(224)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8"/>
                <w:szCs w:val="18"/>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7"/>
              </w:rPr>
              <w:t>—</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005BA5"/>
            </w:tcBorders>
            <w:gridSpan w:val="2"/>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5"/>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86"/>
              </w:rPr>
              <w:t>Purchases</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Sales</w:t>
            </w:r>
          </w:p>
        </w:tc>
        <w:tc>
          <w:tcPr>
            <w:tcW w:w="100" w:type="dxa"/>
            <w:vAlign w:val="bottom"/>
            <w:vMerge w:val="restart"/>
          </w:tcPr>
          <w:p>
            <w:pPr>
              <w:spacing w:after="0"/>
              <w:rPr>
                <w:sz w:val="24"/>
                <w:szCs w:val="24"/>
                <w:color w:val="auto"/>
              </w:rPr>
            </w:pPr>
          </w:p>
        </w:tc>
        <w:tc>
          <w:tcPr>
            <w:tcW w:w="106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rPr>
              <w:t>Issues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vMerge w:val="restart"/>
          </w:tcPr>
          <w:p>
            <w:pPr>
              <w:jc w:val="center"/>
              <w:ind w:left="199"/>
              <w:spacing w:after="0"/>
              <w:rPr>
                <w:sz w:val="20"/>
                <w:szCs w:val="20"/>
                <w:color w:val="auto"/>
              </w:rPr>
            </w:pPr>
            <w:r>
              <w:rPr>
                <w:rFonts w:ascii="Arial" w:cs="Arial" w:eastAsia="Arial" w:hAnsi="Arial"/>
                <w:sz w:val="16"/>
                <w:szCs w:val="16"/>
                <w:b w:val="1"/>
                <w:bCs w:val="1"/>
                <w:color w:val="auto"/>
                <w:w w:val="88"/>
              </w:rPr>
              <w:t>Settlements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2"/>
              </w:rPr>
              <w:t>Balance as of March</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660" w:type="dxa"/>
            <w:vAlign w:val="bottom"/>
            <w:tcBorders>
              <w:bottom w:val="single" w:sz="8" w:color="005BA5"/>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005BA5"/>
            </w:tcBorders>
          </w:tcPr>
          <w:p>
            <w:pPr>
              <w:spacing w:after="0"/>
              <w:rPr>
                <w:sz w:val="17"/>
                <w:szCs w:val="17"/>
                <w:color w:val="auto"/>
              </w:rPr>
            </w:pPr>
          </w:p>
        </w:tc>
        <w:tc>
          <w:tcPr>
            <w:tcW w:w="1200" w:type="dxa"/>
            <w:vAlign w:val="bottom"/>
            <w:tcBorders>
              <w:bottom w:val="single" w:sz="8" w:color="005BA5"/>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Borders>
              <w:bottom w:val="single" w:sz="8" w:color="005BA5"/>
            </w:tcBorders>
          </w:tcPr>
          <w:p>
            <w:pPr>
              <w:spacing w:after="0"/>
              <w:rPr>
                <w:sz w:val="17"/>
                <w:szCs w:val="17"/>
                <w:color w:val="auto"/>
              </w:rPr>
            </w:pPr>
          </w:p>
        </w:tc>
        <w:tc>
          <w:tcPr>
            <w:tcW w:w="1220" w:type="dxa"/>
            <w:vAlign w:val="bottom"/>
            <w:tcBorders>
              <w:bottom w:val="single" w:sz="8" w:color="005BA5"/>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060" w:type="dxa"/>
            <w:vAlign w:val="bottom"/>
            <w:tcBorders>
              <w:bottom w:val="single" w:sz="8" w:color="005BA5"/>
            </w:tcBorders>
            <w:vMerge w:val="continue"/>
          </w:tcPr>
          <w:p>
            <w:pPr>
              <w:spacing w:after="0"/>
              <w:rPr>
                <w:sz w:val="17"/>
                <w:szCs w:val="17"/>
                <w:color w:val="auto"/>
              </w:rPr>
            </w:pPr>
          </w:p>
        </w:tc>
        <w:tc>
          <w:tcPr>
            <w:tcW w:w="300" w:type="dxa"/>
            <w:vAlign w:val="bottom"/>
            <w:tcBorders>
              <w:bottom w:val="single" w:sz="8" w:color="005BA5"/>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005BA5"/>
            </w:tcBorders>
            <w:vMerge w:val="continue"/>
          </w:tcPr>
          <w:p>
            <w:pPr>
              <w:spacing w:after="0"/>
              <w:rPr>
                <w:sz w:val="17"/>
                <w:szCs w:val="17"/>
                <w:color w:val="auto"/>
              </w:rPr>
            </w:pPr>
          </w:p>
        </w:tc>
        <w:tc>
          <w:tcPr>
            <w:tcW w:w="280" w:type="dxa"/>
            <w:vAlign w:val="bottom"/>
            <w:tcBorders>
              <w:bottom w:val="single" w:sz="8" w:color="005BA5"/>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005BA5"/>
            </w:tcBorders>
          </w:tcPr>
          <w:p>
            <w:pPr>
              <w:spacing w:after="0"/>
              <w:rPr>
                <w:sz w:val="17"/>
                <w:szCs w:val="17"/>
                <w:color w:val="auto"/>
              </w:rPr>
            </w:pPr>
          </w:p>
        </w:tc>
        <w:tc>
          <w:tcPr>
            <w:tcW w:w="1200" w:type="dxa"/>
            <w:vAlign w:val="bottom"/>
            <w:tcBorders>
              <w:bottom w:val="single" w:sz="8" w:color="005BA5"/>
            </w:tcBorders>
          </w:tcPr>
          <w:p>
            <w:pPr>
              <w:jc w:val="center"/>
              <w:ind w:right="179"/>
              <w:spacing w:after="0"/>
              <w:rPr>
                <w:sz w:val="20"/>
                <w:szCs w:val="20"/>
                <w:color w:val="auto"/>
              </w:rPr>
            </w:pPr>
            <w:r>
              <w:rPr>
                <w:rFonts w:ascii="Arial" w:cs="Arial" w:eastAsia="Arial" w:hAnsi="Arial"/>
                <w:sz w:val="15"/>
                <w:szCs w:val="15"/>
                <w:b w:val="1"/>
                <w:bCs w:val="1"/>
                <w:color w:val="auto"/>
                <w:w w:val="92"/>
              </w:rPr>
              <w:t>31, 2019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CACAC"/>
            </w:tcBorders>
          </w:tcPr>
          <w:p>
            <w:pPr>
              <w:spacing w:after="0"/>
              <w:rPr>
                <w:sz w:val="4"/>
                <w:szCs w:val="4"/>
                <w:color w:val="auto"/>
              </w:rPr>
            </w:pPr>
          </w:p>
        </w:tc>
        <w:tc>
          <w:tcPr>
            <w:tcW w:w="120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CACAC"/>
            </w:tcBorders>
          </w:tcPr>
          <w:p>
            <w:pPr>
              <w:spacing w:after="0"/>
              <w:rPr>
                <w:sz w:val="4"/>
                <w:szCs w:val="4"/>
                <w:color w:val="auto"/>
              </w:rPr>
            </w:pPr>
          </w:p>
        </w:tc>
        <w:tc>
          <w:tcPr>
            <w:tcW w:w="122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ACACAC"/>
            </w:tcBorders>
          </w:tcPr>
          <w:p>
            <w:pPr>
              <w:spacing w:after="0"/>
              <w:rPr>
                <w:sz w:val="4"/>
                <w:szCs w:val="4"/>
                <w:color w:val="auto"/>
              </w:rPr>
            </w:pPr>
          </w:p>
        </w:tc>
        <w:tc>
          <w:tcPr>
            <w:tcW w:w="30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CACAC"/>
            </w:tcBorders>
          </w:tcPr>
          <w:p>
            <w:pPr>
              <w:spacing w:after="0"/>
              <w:rPr>
                <w:sz w:val="4"/>
                <w:szCs w:val="4"/>
                <w:color w:val="auto"/>
              </w:rPr>
            </w:pPr>
          </w:p>
        </w:tc>
        <w:tc>
          <w:tcPr>
            <w:tcW w:w="28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CACAC"/>
            </w:tcBorders>
          </w:tcPr>
          <w:p>
            <w:pPr>
              <w:spacing w:after="0"/>
              <w:rPr>
                <w:sz w:val="4"/>
                <w:szCs w:val="4"/>
                <w:color w:val="auto"/>
              </w:rPr>
            </w:pPr>
          </w:p>
        </w:tc>
        <w:tc>
          <w:tcPr>
            <w:tcW w:w="1200" w:type="dxa"/>
            <w:vAlign w:val="bottom"/>
            <w:tcBorders>
              <w:bottom w:val="single" w:sz="8" w:color="ACACAC"/>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Fixed income securities: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CACAC"/>
            </w:tcBorders>
          </w:tcPr>
          <w:p>
            <w:pPr>
              <w:spacing w:after="0"/>
              <w:rPr>
                <w:sz w:val="4"/>
                <w:szCs w:val="4"/>
                <w:color w:val="auto"/>
              </w:rPr>
            </w:pPr>
          </w:p>
        </w:tc>
        <w:tc>
          <w:tcPr>
            <w:tcW w:w="120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CACAC"/>
            </w:tcBorders>
          </w:tcPr>
          <w:p>
            <w:pPr>
              <w:spacing w:after="0"/>
              <w:rPr>
                <w:sz w:val="4"/>
                <w:szCs w:val="4"/>
                <w:color w:val="auto"/>
              </w:rPr>
            </w:pPr>
          </w:p>
        </w:tc>
        <w:tc>
          <w:tcPr>
            <w:tcW w:w="122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ACACAC"/>
            </w:tcBorders>
          </w:tcPr>
          <w:p>
            <w:pPr>
              <w:spacing w:after="0"/>
              <w:rPr>
                <w:sz w:val="4"/>
                <w:szCs w:val="4"/>
                <w:color w:val="auto"/>
              </w:rPr>
            </w:pPr>
          </w:p>
        </w:tc>
        <w:tc>
          <w:tcPr>
            <w:tcW w:w="30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CACAC"/>
            </w:tcBorders>
          </w:tcPr>
          <w:p>
            <w:pPr>
              <w:spacing w:after="0"/>
              <w:rPr>
                <w:sz w:val="4"/>
                <w:szCs w:val="4"/>
                <w:color w:val="auto"/>
              </w:rPr>
            </w:pPr>
          </w:p>
        </w:tc>
        <w:tc>
          <w:tcPr>
            <w:tcW w:w="28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CACAC"/>
            </w:tcBorders>
          </w:tcPr>
          <w:p>
            <w:pPr>
              <w:spacing w:after="0"/>
              <w:rPr>
                <w:sz w:val="4"/>
                <w:szCs w:val="4"/>
                <w:color w:val="auto"/>
              </w:rPr>
            </w:pPr>
          </w:p>
        </w:tc>
        <w:tc>
          <w:tcPr>
            <w:tcW w:w="1200" w:type="dxa"/>
            <w:vAlign w:val="bottom"/>
            <w:tcBorders>
              <w:bottom w:val="single" w:sz="8" w:color="ACACAC"/>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Municipal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Corporate - public</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Corporate - privately placed</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ABS - CDO</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ABS - consumer and other</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280"/>
              <w:spacing w:after="0"/>
              <w:rPr>
                <w:sz w:val="20"/>
                <w:szCs w:val="20"/>
                <w:color w:val="auto"/>
              </w:rPr>
            </w:pPr>
            <w:r>
              <w:rPr>
                <w:rFonts w:ascii="Arial" w:cs="Arial" w:eastAsia="Arial" w:hAnsi="Arial"/>
                <w:sz w:val="16"/>
                <w:szCs w:val="16"/>
                <w:color w:val="auto"/>
              </w:rPr>
              <w:t>CMBS</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fixed income securities</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104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370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CACAC"/>
            </w:tcBorders>
          </w:tcPr>
          <w:p>
            <w:pPr>
              <w:spacing w:after="0"/>
              <w:rPr>
                <w:sz w:val="2"/>
                <w:szCs w:val="2"/>
                <w:color w:val="auto"/>
              </w:rPr>
            </w:pPr>
          </w:p>
        </w:tc>
        <w:tc>
          <w:tcPr>
            <w:tcW w:w="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005BA5"/>
                <w:w w:val="93"/>
              </w:rPr>
              <w:t>(2)</w:t>
            </w:r>
          </w:p>
        </w:tc>
        <w:tc>
          <w:tcPr>
            <w:tcW w:w="0" w:type="dxa"/>
            <w:vAlign w:val="bottom"/>
          </w:tcPr>
          <w:p>
            <w:pPr>
              <w:spacing w:after="0"/>
              <w:rPr>
                <w:sz w:val="1"/>
                <w:szCs w:val="1"/>
                <w:color w:val="auto"/>
              </w:rPr>
            </w:pPr>
          </w:p>
        </w:tc>
      </w:tr>
      <w:tr>
        <w:trPr>
          <w:trHeight w:val="217"/>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Free-standing derivatives, net</w:t>
            </w: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w w:val="87"/>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recurring Level 3 assets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116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(93)</w:t>
            </w:r>
          </w:p>
        </w:tc>
        <w:tc>
          <w:tcPr>
            <w:tcW w:w="100" w:type="dxa"/>
            <w:vAlign w:val="bottom"/>
          </w:tcPr>
          <w:p>
            <w:pPr>
              <w:spacing w:after="0"/>
              <w:rPr>
                <w:sz w:val="18"/>
                <w:szCs w:val="18"/>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714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366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CACAC"/>
            </w:tcBorders>
          </w:tcPr>
          <w:p>
            <w:pPr>
              <w:spacing w:after="0"/>
              <w:rPr>
                <w:sz w:val="4"/>
                <w:szCs w:val="4"/>
                <w:color w:val="auto"/>
              </w:rPr>
            </w:pPr>
          </w:p>
        </w:tc>
        <w:tc>
          <w:tcPr>
            <w:tcW w:w="120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CACAC"/>
            </w:tcBorders>
          </w:tcPr>
          <w:p>
            <w:pPr>
              <w:spacing w:after="0"/>
              <w:rPr>
                <w:sz w:val="4"/>
                <w:szCs w:val="4"/>
                <w:color w:val="auto"/>
              </w:rPr>
            </w:pPr>
          </w:p>
        </w:tc>
        <w:tc>
          <w:tcPr>
            <w:tcW w:w="122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Borders>
              <w:bottom w:val="single" w:sz="8" w:color="ACACAC"/>
            </w:tcBorders>
          </w:tcPr>
          <w:p>
            <w:pPr>
              <w:spacing w:after="0"/>
              <w:rPr>
                <w:sz w:val="4"/>
                <w:szCs w:val="4"/>
                <w:color w:val="auto"/>
              </w:rPr>
            </w:pPr>
          </w:p>
        </w:tc>
        <w:tc>
          <w:tcPr>
            <w:tcW w:w="30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Borders>
              <w:bottom w:val="single" w:sz="8" w:color="ACACAC"/>
            </w:tcBorders>
          </w:tcPr>
          <w:p>
            <w:pPr>
              <w:spacing w:after="0"/>
              <w:rPr>
                <w:sz w:val="4"/>
                <w:szCs w:val="4"/>
                <w:color w:val="auto"/>
              </w:rPr>
            </w:pPr>
          </w:p>
        </w:tc>
        <w:tc>
          <w:tcPr>
            <w:tcW w:w="28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CACAC"/>
            </w:tcBorders>
          </w:tcPr>
          <w:p>
            <w:pPr>
              <w:spacing w:after="0"/>
              <w:rPr>
                <w:sz w:val="4"/>
                <w:szCs w:val="4"/>
                <w:color w:val="auto"/>
              </w:rPr>
            </w:pPr>
          </w:p>
        </w:tc>
        <w:tc>
          <w:tcPr>
            <w:tcW w:w="1200" w:type="dxa"/>
            <w:vAlign w:val="bottom"/>
            <w:tcBorders>
              <w:bottom w:val="single" w:sz="8" w:color="ACACAC"/>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3780" w:type="dxa"/>
            <w:vAlign w:val="bottom"/>
            <w:gridSpan w:val="2"/>
          </w:tcPr>
          <w:p>
            <w:pPr>
              <w:ind w:left="180"/>
              <w:spacing w:after="0"/>
              <w:rPr>
                <w:sz w:val="20"/>
                <w:szCs w:val="20"/>
                <w:color w:val="auto"/>
              </w:rPr>
            </w:pPr>
            <w:r>
              <w:rPr>
                <w:rFonts w:ascii="Arial" w:cs="Arial" w:eastAsia="Arial" w:hAnsi="Arial"/>
                <w:sz w:val="16"/>
                <w:szCs w:val="16"/>
                <w:color w:val="auto"/>
                <w:w w:val="99"/>
              </w:rPr>
              <w:t>Contractholder funds: Derivatives embedded in life</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gridSpan w:val="2"/>
          </w:tcPr>
          <w:p>
            <w:pPr>
              <w:ind w:left="180"/>
              <w:spacing w:after="0"/>
              <w:rPr>
                <w:sz w:val="20"/>
                <w:szCs w:val="20"/>
                <w:color w:val="auto"/>
              </w:rPr>
            </w:pPr>
            <w:r>
              <w:rPr>
                <w:rFonts w:ascii="Arial" w:cs="Arial" w:eastAsia="Arial" w:hAnsi="Arial"/>
                <w:sz w:val="16"/>
                <w:szCs w:val="16"/>
                <w:color w:val="auto"/>
              </w:rPr>
              <w:t>and annuity contracts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7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78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recurring Level 3 liabilities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859"/>
              <w:spacing w:after="0"/>
              <w:rPr>
                <w:sz w:val="20"/>
                <w:szCs w:val="20"/>
                <w:color w:val="auto"/>
              </w:rPr>
            </w:pPr>
            <w:r>
              <w:rPr>
                <w:rFonts w:ascii="Arial" w:cs="Arial" w:eastAsia="Arial" w:hAnsi="Arial"/>
                <w:sz w:val="16"/>
                <w:szCs w:val="16"/>
                <w:b w:val="1"/>
                <w:bCs w:val="1"/>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879"/>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6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005BA5"/>
            </w:tcBorders>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280" w:hanging="191"/>
        <w:spacing w:after="0" w:line="188" w:lineRule="auto"/>
        <w:tabs>
          <w:tab w:leader="none" w:pos="280" w:val="left"/>
        </w:tabs>
        <w:numPr>
          <w:ilvl w:val="0"/>
          <w:numId w:val="16"/>
        </w:numPr>
        <w:rPr>
          <w:rFonts w:ascii="Arial" w:cs="Arial" w:eastAsia="Arial" w:hAnsi="Arial"/>
          <w:sz w:val="23"/>
          <w:szCs w:val="23"/>
          <w:color w:val="005BA5"/>
          <w:vertAlign w:val="superscript"/>
        </w:rPr>
      </w:pPr>
      <w:r>
        <w:rPr>
          <w:rFonts w:ascii="Arial" w:cs="Arial" w:eastAsia="Arial" w:hAnsi="Arial"/>
          <w:sz w:val="14"/>
          <w:szCs w:val="14"/>
          <w:color w:val="auto"/>
        </w:rPr>
        <w:t>The effect to net income totals $(2) million and is reported in the Condensed Consolidated Statements of Operations as follows: $26 million in realized capital gains and losses, $(36) million in interest credited to contractholder funds and $8 million in life contract benefits.</w:t>
      </w:r>
    </w:p>
    <w:p>
      <w:pPr>
        <w:spacing w:after="0" w:line="6" w:lineRule="exact"/>
        <w:rPr>
          <w:rFonts w:ascii="Arial" w:cs="Arial" w:eastAsia="Arial" w:hAnsi="Arial"/>
          <w:sz w:val="23"/>
          <w:szCs w:val="23"/>
          <w:color w:val="005BA5"/>
          <w:vertAlign w:val="superscript"/>
        </w:rPr>
      </w:pPr>
    </w:p>
    <w:p>
      <w:pPr>
        <w:ind w:left="280" w:hanging="191"/>
        <w:spacing w:after="0"/>
        <w:tabs>
          <w:tab w:leader="none" w:pos="280" w:val="left"/>
        </w:tabs>
        <w:numPr>
          <w:ilvl w:val="0"/>
          <w:numId w:val="16"/>
        </w:numPr>
        <w:rPr>
          <w:rFonts w:ascii="Arial" w:cs="Arial" w:eastAsia="Arial" w:hAnsi="Arial"/>
          <w:sz w:val="23"/>
          <w:szCs w:val="23"/>
          <w:color w:val="005BA5"/>
          <w:vertAlign w:val="superscript"/>
        </w:rPr>
      </w:pPr>
      <w:r>
        <w:rPr>
          <w:rFonts w:ascii="Arial" w:cs="Arial" w:eastAsia="Arial" w:hAnsi="Arial"/>
          <w:sz w:val="14"/>
          <w:szCs w:val="14"/>
          <w:color w:val="auto"/>
        </w:rPr>
        <w:t>Comprises $1 million of assets.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28 </w:t>
      </w:r>
      <w:r>
        <w:rPr>
          <w:sz w:val="1"/>
          <w:szCs w:val="1"/>
          <w:color w:val="auto"/>
        </w:rPr>
        <w:drawing>
          <wp:inline distT="0" distB="0" distL="0" distR="0">
            <wp:extent cx="111760" cy="1117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420"/>
          </w:cols>
          <w:pgMar w:left="240" w:top="14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0834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40" w:type="dxa"/>
            <w:vAlign w:val="bottom"/>
            <w:gridSpan w:val="9"/>
          </w:tcPr>
          <w:p>
            <w:pPr>
              <w:ind w:left="40"/>
              <w:spacing w:after="0"/>
              <w:rPr>
                <w:sz w:val="20"/>
                <w:szCs w:val="20"/>
                <w:color w:val="auto"/>
              </w:rPr>
            </w:pPr>
            <w:r>
              <w:rPr>
                <w:rFonts w:ascii="Arial" w:cs="Arial" w:eastAsia="Arial" w:hAnsi="Arial"/>
                <w:sz w:val="15"/>
                <w:szCs w:val="15"/>
                <w:b w:val="1"/>
                <w:bCs w:val="1"/>
                <w:color w:val="auto"/>
                <w:w w:val="99"/>
              </w:rPr>
              <w:t>Rollforward of Level 3 assets and liabilities at fair value during the three month period ended March 31, 2018</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
        </w:trPr>
        <w:tc>
          <w:tcPr>
            <w:tcW w:w="3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3"/>
            <w:vMerge w:val="restart"/>
          </w:tcPr>
          <w:p>
            <w:pPr>
              <w:jc w:val="right"/>
              <w:ind w:right="80"/>
              <w:spacing w:after="0"/>
              <w:rPr>
                <w:sz w:val="20"/>
                <w:szCs w:val="20"/>
                <w:color w:val="auto"/>
              </w:rPr>
            </w:pPr>
            <w:r>
              <w:rPr>
                <w:rFonts w:ascii="Arial" w:cs="Arial" w:eastAsia="Arial" w:hAnsi="Arial"/>
                <w:sz w:val="16"/>
                <w:szCs w:val="16"/>
                <w:b w:val="1"/>
                <w:bCs w:val="1"/>
                <w:color w:val="auto"/>
                <w:w w:val="98"/>
              </w:rPr>
              <w:t>Total gains (losses) included in: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left="239"/>
              <w:spacing w:after="0"/>
              <w:rPr>
                <w:sz w:val="20"/>
                <w:szCs w:val="20"/>
                <w:color w:val="auto"/>
              </w:rPr>
            </w:pPr>
            <w:r>
              <w:rPr>
                <w:rFonts w:ascii="Arial" w:cs="Arial" w:eastAsia="Arial" w:hAnsi="Arial"/>
                <w:sz w:val="16"/>
                <w:szCs w:val="16"/>
                <w:b w:val="1"/>
                <w:bCs w:val="1"/>
                <w:color w:val="auto"/>
                <w:w w:val="90"/>
              </w:rPr>
              <w:t>Transfers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Transfers</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5"/>
                <w:szCs w:val="15"/>
                <w:b w:val="1"/>
                <w:bCs w:val="1"/>
                <w:color w:val="auto"/>
                <w:w w:val="90"/>
              </w:rPr>
              <w:t>Balance as of</w:t>
            </w:r>
          </w:p>
        </w:tc>
        <w:tc>
          <w:tcPr>
            <w:tcW w:w="200" w:type="dxa"/>
            <w:vAlign w:val="bottom"/>
          </w:tcPr>
          <w:p>
            <w:pPr>
              <w:spacing w:after="0"/>
              <w:rPr>
                <w:sz w:val="6"/>
                <w:szCs w:val="6"/>
                <w:color w:val="auto"/>
              </w:rPr>
            </w:pPr>
          </w:p>
        </w:tc>
        <w:tc>
          <w:tcPr>
            <w:tcW w:w="25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88"/>
              </w:rPr>
              <w:t>into</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89"/>
              </w:rPr>
              <w:t>out of</w:t>
            </w: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3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OCI</w:t>
            </w: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92"/>
              </w:rPr>
              <w:t>Level 3</w:t>
            </w: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2"/>
              </w:rPr>
              <w:t>Level 3</w:t>
            </w: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8"/>
                <w:szCs w:val="18"/>
                <w:color w:val="auto"/>
              </w:rPr>
            </w:pPr>
          </w:p>
        </w:tc>
        <w:tc>
          <w:tcPr>
            <w:tcW w:w="100" w:type="dxa"/>
            <w:vAlign w:val="bottom"/>
            <w:tcBorders>
              <w:bottom w:val="single" w:sz="8" w:color="005BA5"/>
            </w:tcBorders>
          </w:tcPr>
          <w:p>
            <w:pPr>
              <w:spacing w:after="0"/>
              <w:rPr>
                <w:sz w:val="18"/>
                <w:szCs w:val="18"/>
                <w:color w:val="auto"/>
              </w:rPr>
            </w:pPr>
          </w:p>
        </w:tc>
        <w:tc>
          <w:tcPr>
            <w:tcW w:w="1380" w:type="dxa"/>
            <w:vAlign w:val="bottom"/>
            <w:tcBorders>
              <w:bottom w:val="single" w:sz="8" w:color="005BA5"/>
            </w:tcBorders>
          </w:tcPr>
          <w:p>
            <w:pPr>
              <w:jc w:val="center"/>
              <w:ind w:right="19"/>
              <w:spacing w:after="0"/>
              <w:rPr>
                <w:sz w:val="20"/>
                <w:szCs w:val="20"/>
                <w:color w:val="auto"/>
              </w:rPr>
            </w:pPr>
            <w:r>
              <w:rPr>
                <w:rFonts w:ascii="Arial" w:cs="Arial" w:eastAsia="Arial" w:hAnsi="Arial"/>
                <w:sz w:val="15"/>
                <w:szCs w:val="15"/>
                <w:b w:val="1"/>
                <w:bCs w:val="1"/>
                <w:color w:val="auto"/>
                <w:w w:val="91"/>
              </w:rPr>
              <w:t>December 31, 2017</w:t>
            </w:r>
          </w:p>
        </w:tc>
        <w:tc>
          <w:tcPr>
            <w:tcW w:w="140" w:type="dxa"/>
            <w:vAlign w:val="bottom"/>
          </w:tcPr>
          <w:p>
            <w:pPr>
              <w:spacing w:after="0"/>
              <w:rPr>
                <w:sz w:val="18"/>
                <w:szCs w:val="18"/>
                <w:color w:val="auto"/>
              </w:rPr>
            </w:pPr>
          </w:p>
        </w:tc>
        <w:tc>
          <w:tcPr>
            <w:tcW w:w="200" w:type="dxa"/>
            <w:vAlign w:val="bottom"/>
            <w:tcBorders>
              <w:bottom w:val="single" w:sz="8" w:color="005BA5"/>
            </w:tcBorders>
          </w:tcPr>
          <w:p>
            <w:pPr>
              <w:spacing w:after="0"/>
              <w:rPr>
                <w:sz w:val="18"/>
                <w:szCs w:val="18"/>
                <w:color w:val="auto"/>
              </w:rPr>
            </w:pPr>
          </w:p>
        </w:tc>
        <w:tc>
          <w:tcPr>
            <w:tcW w:w="1300" w:type="dxa"/>
            <w:vAlign w:val="bottom"/>
            <w:tcBorders>
              <w:bottom w:val="single" w:sz="8" w:color="005BA5"/>
            </w:tcBorders>
          </w:tcPr>
          <w:p>
            <w:pPr>
              <w:jc w:val="right"/>
              <w:ind w:right="219"/>
              <w:spacing w:after="0" w:line="210" w:lineRule="exact"/>
              <w:rPr>
                <w:sz w:val="20"/>
                <w:szCs w:val="20"/>
                <w:color w:val="auto"/>
              </w:rPr>
            </w:pPr>
            <w:r>
              <w:rPr>
                <w:rFonts w:ascii="Arial" w:cs="Arial" w:eastAsia="Arial" w:hAnsi="Arial"/>
                <w:sz w:val="15"/>
                <w:szCs w:val="15"/>
                <w:b w:val="1"/>
                <w:bCs w:val="1"/>
                <w:color w:val="auto"/>
                <w:w w:val="93"/>
              </w:rPr>
              <w:t xml:space="preserve">Net income </w:t>
            </w:r>
            <w:r>
              <w:rPr>
                <w:rFonts w:ascii="Arial" w:cs="Arial" w:eastAsia="Arial" w:hAnsi="Arial"/>
                <w:sz w:val="24"/>
                <w:szCs w:val="24"/>
                <w:color w:val="005BA5"/>
                <w:w w:val="93"/>
                <w:vertAlign w:val="superscript"/>
              </w:rPr>
              <w:t>(1)</w:t>
            </w:r>
          </w:p>
        </w:tc>
        <w:tc>
          <w:tcPr>
            <w:tcW w:w="120" w:type="dxa"/>
            <w:vAlign w:val="bottom"/>
          </w:tcPr>
          <w:p>
            <w:pPr>
              <w:spacing w:after="0"/>
              <w:rPr>
                <w:sz w:val="18"/>
                <w:szCs w:val="18"/>
                <w:color w:val="auto"/>
              </w:rPr>
            </w:pPr>
          </w:p>
        </w:tc>
        <w:tc>
          <w:tcPr>
            <w:tcW w:w="1160" w:type="dxa"/>
            <w:vAlign w:val="bottom"/>
            <w:tcBorders>
              <w:bottom w:val="single" w:sz="8" w:color="005BA5"/>
            </w:tcBorders>
            <w:vMerge w:val="continue"/>
          </w:tcPr>
          <w:p>
            <w:pPr>
              <w:spacing w:after="0"/>
              <w:rPr>
                <w:sz w:val="18"/>
                <w:szCs w:val="18"/>
                <w:color w:val="auto"/>
              </w:rPr>
            </w:pPr>
          </w:p>
        </w:tc>
        <w:tc>
          <w:tcPr>
            <w:tcW w:w="300" w:type="dxa"/>
            <w:vAlign w:val="bottom"/>
            <w:tcBorders>
              <w:bottom w:val="single" w:sz="8" w:color="005BA5"/>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005BA5"/>
            </w:tcBorders>
            <w:vMerge w:val="continue"/>
          </w:tcPr>
          <w:p>
            <w:pPr>
              <w:spacing w:after="0"/>
              <w:rPr>
                <w:sz w:val="18"/>
                <w:szCs w:val="18"/>
                <w:color w:val="auto"/>
              </w:rPr>
            </w:pPr>
          </w:p>
        </w:tc>
        <w:tc>
          <w:tcPr>
            <w:tcW w:w="320" w:type="dxa"/>
            <w:vAlign w:val="bottom"/>
            <w:tcBorders>
              <w:bottom w:val="single" w:sz="8" w:color="005BA5"/>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005BA5"/>
            </w:tcBorders>
          </w:tcPr>
          <w:p>
            <w:pPr>
              <w:spacing w:after="0"/>
              <w:rPr>
                <w:sz w:val="18"/>
                <w:szCs w:val="18"/>
                <w:color w:val="auto"/>
              </w:rPr>
            </w:pPr>
          </w:p>
        </w:tc>
        <w:tc>
          <w:tcPr>
            <w:tcW w:w="1200" w:type="dxa"/>
            <w:vAlign w:val="bottom"/>
            <w:tcBorders>
              <w:bottom w:val="single" w:sz="8" w:color="005BA5"/>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Fixed income securities: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Municipal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101</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Corporate - public</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Corporate - privately placed</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ABS - CDO</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ABS - consumer and other</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CMBS</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fixed income securities</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606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Equity securities</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Short-term investments</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Free-standing derivatives, net</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recurring Level 3 assets</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837</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c>
          <w:tcPr>
            <w:tcW w:w="1160" w:type="dxa"/>
            <w:vAlign w:val="bottom"/>
          </w:tcPr>
          <w:p>
            <w:pPr>
              <w:jc w:val="right"/>
              <w:ind w:right="980"/>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(115)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340" w:type="dxa"/>
            <w:vAlign w:val="bottom"/>
            <w:gridSpan w:val="2"/>
          </w:tcPr>
          <w:p>
            <w:pPr>
              <w:ind w:left="180"/>
              <w:spacing w:after="0"/>
              <w:rPr>
                <w:sz w:val="20"/>
                <w:szCs w:val="20"/>
                <w:color w:val="auto"/>
              </w:rPr>
            </w:pPr>
            <w:r>
              <w:rPr>
                <w:rFonts w:ascii="Arial" w:cs="Arial" w:eastAsia="Arial" w:hAnsi="Arial"/>
                <w:sz w:val="16"/>
                <w:szCs w:val="16"/>
                <w:color w:val="auto"/>
                <w:w w:val="99"/>
              </w:rPr>
              <w:t>Contractholder funds: Derivatives embedded</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in life and annuity contracts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(286)</w:t>
            </w:r>
          </w:p>
        </w:tc>
        <w:tc>
          <w:tcPr>
            <w:tcW w:w="14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recurring Level 3 liabilities</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(286)</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ind w:right="59"/>
              <w:spacing w:after="0"/>
              <w:rPr>
                <w:sz w:val="20"/>
                <w:szCs w:val="20"/>
                <w:color w:val="auto"/>
              </w:rPr>
            </w:pPr>
            <w:r>
              <w:rPr>
                <w:rFonts w:ascii="Arial" w:cs="Arial" w:eastAsia="Arial" w:hAnsi="Arial"/>
                <w:sz w:val="16"/>
                <w:szCs w:val="16"/>
                <w:b w:val="1"/>
                <w:bCs w:val="1"/>
                <w:color w:val="auto"/>
              </w:rPr>
              <w:t>23</w:t>
            </w:r>
          </w:p>
        </w:tc>
        <w:tc>
          <w:tcPr>
            <w:tcW w:w="120" w:type="dxa"/>
            <w:vAlign w:val="bottom"/>
          </w:tcPr>
          <w:p>
            <w:pPr>
              <w:spacing w:after="0"/>
              <w:rPr>
                <w:sz w:val="18"/>
                <w:szCs w:val="18"/>
                <w:color w:val="auto"/>
              </w:rPr>
            </w:pPr>
          </w:p>
        </w:tc>
        <w:tc>
          <w:tcPr>
            <w:tcW w:w="1160" w:type="dxa"/>
            <w:vAlign w:val="bottom"/>
          </w:tcPr>
          <w:p>
            <w:pPr>
              <w:jc w:val="right"/>
              <w:ind w:right="980"/>
              <w:spacing w:after="0"/>
              <w:rPr>
                <w:sz w:val="20"/>
                <w:szCs w:val="20"/>
                <w:color w:val="auto"/>
              </w:rPr>
            </w:pPr>
            <w:r>
              <w:rPr>
                <w:rFonts w:ascii="Arial" w:cs="Arial" w:eastAsia="Arial" w:hAnsi="Arial"/>
                <w:sz w:val="16"/>
                <w:szCs w:val="16"/>
                <w:b w:val="1"/>
                <w:bCs w:val="1"/>
                <w:color w:val="auto"/>
                <w:w w:val="89"/>
              </w:rPr>
              <w:t>$</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w:t>
            </w:r>
          </w:p>
        </w:tc>
        <w:tc>
          <w:tcPr>
            <w:tcW w:w="1140" w:type="dxa"/>
            <w:vAlign w:val="bottom"/>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005BA5"/>
            </w:tcBorders>
            <w:gridSpan w:val="2"/>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7"/>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spacing w:after="0"/>
              <w:rPr>
                <w:sz w:val="20"/>
                <w:szCs w:val="20"/>
                <w:color w:val="auto"/>
              </w:rPr>
            </w:pPr>
            <w:r>
              <w:rPr>
                <w:rFonts w:ascii="Arial" w:cs="Arial" w:eastAsia="Arial" w:hAnsi="Arial"/>
                <w:sz w:val="15"/>
                <w:szCs w:val="15"/>
                <w:b w:val="1"/>
                <w:bCs w:val="1"/>
                <w:color w:val="auto"/>
                <w:w w:val="90"/>
              </w:rPr>
              <w:t>Balance as of March</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200" w:type="dxa"/>
            <w:vAlign w:val="bottom"/>
            <w:tcBorders>
              <w:bottom w:val="single" w:sz="8" w:color="005BA5"/>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005BA5"/>
            </w:tcBorders>
          </w:tcPr>
          <w:p>
            <w:pPr>
              <w:spacing w:after="0"/>
              <w:rPr>
                <w:sz w:val="17"/>
                <w:szCs w:val="17"/>
                <w:color w:val="auto"/>
              </w:rPr>
            </w:pPr>
          </w:p>
        </w:tc>
        <w:tc>
          <w:tcPr>
            <w:tcW w:w="1380" w:type="dxa"/>
            <w:vAlign w:val="bottom"/>
            <w:tcBorders>
              <w:bottom w:val="single" w:sz="8" w:color="005BA5"/>
            </w:tcBorders>
          </w:tcPr>
          <w:p>
            <w:pPr>
              <w:jc w:val="center"/>
              <w:ind w:right="19"/>
              <w:spacing w:after="0"/>
              <w:rPr>
                <w:sz w:val="20"/>
                <w:szCs w:val="20"/>
                <w:color w:val="auto"/>
              </w:rPr>
            </w:pPr>
            <w:r>
              <w:rPr>
                <w:rFonts w:ascii="Arial" w:cs="Arial" w:eastAsia="Arial" w:hAnsi="Arial"/>
                <w:sz w:val="15"/>
                <w:szCs w:val="15"/>
                <w:b w:val="1"/>
                <w:bCs w:val="1"/>
                <w:color w:val="auto"/>
                <w:w w:val="84"/>
              </w:rPr>
              <w:t>Purchases</w:t>
            </w:r>
          </w:p>
        </w:tc>
        <w:tc>
          <w:tcPr>
            <w:tcW w:w="140" w:type="dxa"/>
            <w:vAlign w:val="bottom"/>
          </w:tcPr>
          <w:p>
            <w:pPr>
              <w:spacing w:after="0"/>
              <w:rPr>
                <w:sz w:val="17"/>
                <w:szCs w:val="17"/>
                <w:color w:val="auto"/>
              </w:rPr>
            </w:pPr>
          </w:p>
        </w:tc>
        <w:tc>
          <w:tcPr>
            <w:tcW w:w="200" w:type="dxa"/>
            <w:vAlign w:val="bottom"/>
            <w:tcBorders>
              <w:bottom w:val="single" w:sz="8" w:color="005BA5"/>
            </w:tcBorders>
          </w:tcPr>
          <w:p>
            <w:pPr>
              <w:spacing w:after="0"/>
              <w:rPr>
                <w:sz w:val="17"/>
                <w:szCs w:val="17"/>
                <w:color w:val="auto"/>
              </w:rPr>
            </w:pPr>
          </w:p>
        </w:tc>
        <w:tc>
          <w:tcPr>
            <w:tcW w:w="1300" w:type="dxa"/>
            <w:vAlign w:val="bottom"/>
            <w:tcBorders>
              <w:bottom w:val="single" w:sz="8" w:color="005BA5"/>
            </w:tcBorders>
          </w:tcPr>
          <w:p>
            <w:pPr>
              <w:jc w:val="right"/>
              <w:ind w:right="519"/>
              <w:spacing w:after="0"/>
              <w:rPr>
                <w:sz w:val="20"/>
                <w:szCs w:val="20"/>
                <w:color w:val="auto"/>
              </w:rPr>
            </w:pPr>
            <w:r>
              <w:rPr>
                <w:rFonts w:ascii="Arial" w:cs="Arial" w:eastAsia="Arial" w:hAnsi="Arial"/>
                <w:sz w:val="15"/>
                <w:szCs w:val="15"/>
                <w:b w:val="1"/>
                <w:bCs w:val="1"/>
                <w:color w:val="auto"/>
              </w:rPr>
              <w:t>Sales</w:t>
            </w:r>
          </w:p>
        </w:tc>
        <w:tc>
          <w:tcPr>
            <w:tcW w:w="120" w:type="dxa"/>
            <w:vAlign w:val="bottom"/>
          </w:tcPr>
          <w:p>
            <w:pPr>
              <w:spacing w:after="0"/>
              <w:rPr>
                <w:sz w:val="17"/>
                <w:szCs w:val="17"/>
                <w:color w:val="auto"/>
              </w:rPr>
            </w:pPr>
          </w:p>
        </w:tc>
        <w:tc>
          <w:tcPr>
            <w:tcW w:w="1160" w:type="dxa"/>
            <w:vAlign w:val="bottom"/>
            <w:tcBorders>
              <w:bottom w:val="single" w:sz="8" w:color="005BA5"/>
            </w:tcBorders>
          </w:tcPr>
          <w:p>
            <w:pPr>
              <w:jc w:val="right"/>
              <w:ind w:right="160"/>
              <w:spacing w:after="0"/>
              <w:rPr>
                <w:sz w:val="20"/>
                <w:szCs w:val="20"/>
                <w:color w:val="auto"/>
              </w:rPr>
            </w:pPr>
            <w:r>
              <w:rPr>
                <w:rFonts w:ascii="Arial" w:cs="Arial" w:eastAsia="Arial" w:hAnsi="Arial"/>
                <w:sz w:val="15"/>
                <w:szCs w:val="15"/>
                <w:b w:val="1"/>
                <w:bCs w:val="1"/>
                <w:color w:val="auto"/>
              </w:rPr>
              <w:t>Issues</w:t>
            </w:r>
          </w:p>
        </w:tc>
        <w:tc>
          <w:tcPr>
            <w:tcW w:w="300" w:type="dxa"/>
            <w:vAlign w:val="bottom"/>
            <w:tcBorders>
              <w:bottom w:val="single" w:sz="8" w:color="005BA5"/>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005BA5"/>
            </w:tcBorders>
          </w:tcPr>
          <w:p>
            <w:pPr>
              <w:jc w:val="center"/>
              <w:ind w:left="239"/>
              <w:spacing w:after="0"/>
              <w:rPr>
                <w:sz w:val="20"/>
                <w:szCs w:val="20"/>
                <w:color w:val="auto"/>
              </w:rPr>
            </w:pPr>
            <w:r>
              <w:rPr>
                <w:rFonts w:ascii="Arial" w:cs="Arial" w:eastAsia="Arial" w:hAnsi="Arial"/>
                <w:sz w:val="15"/>
                <w:szCs w:val="15"/>
                <w:b w:val="1"/>
                <w:bCs w:val="1"/>
                <w:color w:val="auto"/>
                <w:w w:val="86"/>
              </w:rPr>
              <w:t>Settlements</w:t>
            </w:r>
          </w:p>
        </w:tc>
        <w:tc>
          <w:tcPr>
            <w:tcW w:w="320" w:type="dxa"/>
            <w:vAlign w:val="bottom"/>
            <w:tcBorders>
              <w:bottom w:val="single" w:sz="8" w:color="005BA5"/>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005BA5"/>
            </w:tcBorders>
          </w:tcPr>
          <w:p>
            <w:pPr>
              <w:spacing w:after="0"/>
              <w:rPr>
                <w:sz w:val="17"/>
                <w:szCs w:val="17"/>
                <w:color w:val="auto"/>
              </w:rPr>
            </w:pPr>
          </w:p>
        </w:tc>
        <w:tc>
          <w:tcPr>
            <w:tcW w:w="1200" w:type="dxa"/>
            <w:vAlign w:val="bottom"/>
            <w:tcBorders>
              <w:bottom w:val="single" w:sz="8" w:color="005BA5"/>
            </w:tcBorders>
          </w:tcPr>
          <w:p>
            <w:pPr>
              <w:jc w:val="center"/>
              <w:ind w:right="179"/>
              <w:spacing w:after="0"/>
              <w:rPr>
                <w:sz w:val="20"/>
                <w:szCs w:val="20"/>
                <w:color w:val="auto"/>
              </w:rPr>
            </w:pPr>
            <w:r>
              <w:rPr>
                <w:rFonts w:ascii="Arial" w:cs="Arial" w:eastAsia="Arial" w:hAnsi="Arial"/>
                <w:sz w:val="15"/>
                <w:szCs w:val="15"/>
                <w:b w:val="1"/>
                <w:bCs w:val="1"/>
                <w:color w:val="auto"/>
                <w:w w:val="92"/>
              </w:rPr>
              <w:t>31, 2018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Fixed income securities: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Municipal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Corporate - public</w:t>
            </w: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Corporate - privately placed</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ABS - CDO</w:t>
            </w: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ABS - consumer and other</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CMBS</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fixed income securities</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w:t>
            </w:r>
          </w:p>
        </w:tc>
        <w:tc>
          <w:tcPr>
            <w:tcW w:w="1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487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Equity securities</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Short-term investments</w:t>
            </w:r>
          </w:p>
        </w:tc>
        <w:tc>
          <w:tcPr>
            <w:tcW w:w="100" w:type="dxa"/>
            <w:vAlign w:val="bottom"/>
          </w:tcPr>
          <w:p>
            <w:pPr>
              <w:spacing w:after="0"/>
              <w:rPr>
                <w:sz w:val="18"/>
                <w:szCs w:val="18"/>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005BA5"/>
                <w:w w:val="93"/>
              </w:rPr>
              <w:t>(2)</w:t>
            </w:r>
          </w:p>
        </w:tc>
        <w:tc>
          <w:tcPr>
            <w:tcW w:w="0" w:type="dxa"/>
            <w:vAlign w:val="bottom"/>
          </w:tcPr>
          <w:p>
            <w:pPr>
              <w:spacing w:after="0"/>
              <w:rPr>
                <w:sz w:val="1"/>
                <w:szCs w:val="1"/>
                <w:color w:val="auto"/>
              </w:rPr>
            </w:pPr>
          </w:p>
        </w:tc>
      </w:tr>
      <w:tr>
        <w:trPr>
          <w:trHeight w:val="217"/>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Free-standing derivatives, net</w:t>
            </w: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w w:val="99"/>
              </w:rPr>
              <w:t>—</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recurring Level 3 assets</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ind w:right="39"/>
              <w:spacing w:after="0"/>
              <w:rPr>
                <w:sz w:val="20"/>
                <w:szCs w:val="20"/>
                <w:color w:val="auto"/>
              </w:rPr>
            </w:pPr>
            <w:r>
              <w:rPr>
                <w:rFonts w:ascii="Arial" w:cs="Arial" w:eastAsia="Arial" w:hAnsi="Arial"/>
                <w:sz w:val="16"/>
                <w:szCs w:val="16"/>
                <w:b w:val="1"/>
                <w:bCs w:val="1"/>
                <w:color w:val="auto"/>
              </w:rPr>
              <w:t>114</w:t>
            </w:r>
          </w:p>
        </w:tc>
        <w:tc>
          <w:tcPr>
            <w:tcW w:w="14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(109)</w:t>
            </w:r>
          </w:p>
        </w:tc>
        <w:tc>
          <w:tcPr>
            <w:tcW w:w="120" w:type="dxa"/>
            <w:vAlign w:val="bottom"/>
          </w:tcPr>
          <w:p>
            <w:pPr>
              <w:spacing w:after="0"/>
              <w:rPr>
                <w:sz w:val="18"/>
                <w:szCs w:val="18"/>
                <w:color w:val="auto"/>
              </w:rPr>
            </w:pPr>
          </w:p>
        </w:tc>
        <w:tc>
          <w:tcPr>
            <w:tcW w:w="1160" w:type="dxa"/>
            <w:vAlign w:val="bottom"/>
          </w:tcPr>
          <w:p>
            <w:pPr>
              <w:jc w:val="right"/>
              <w:ind w:right="980"/>
              <w:spacing w:after="0"/>
              <w:rPr>
                <w:sz w:val="20"/>
                <w:szCs w:val="20"/>
                <w:color w:val="auto"/>
              </w:rPr>
            </w:pPr>
            <w:r>
              <w:rPr>
                <w:rFonts w:ascii="Arial" w:cs="Arial" w:eastAsia="Arial" w:hAnsi="Arial"/>
                <w:sz w:val="16"/>
                <w:szCs w:val="16"/>
                <w:b w:val="1"/>
                <w:bCs w:val="1"/>
                <w:color w:val="auto"/>
                <w:w w:val="89"/>
              </w:rPr>
              <w:t>$</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w:t>
            </w:r>
          </w:p>
        </w:tc>
        <w:tc>
          <w:tcPr>
            <w:tcW w:w="1140" w:type="dxa"/>
            <w:vAlign w:val="bottom"/>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730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8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0" w:type="dxa"/>
            <w:vAlign w:val="bottom"/>
            <w:tcBorders>
              <w:bottom w:val="single" w:sz="8" w:color="ACACAC"/>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340" w:type="dxa"/>
            <w:vAlign w:val="bottom"/>
            <w:gridSpan w:val="2"/>
          </w:tcPr>
          <w:p>
            <w:pPr>
              <w:ind w:left="180"/>
              <w:spacing w:after="0"/>
              <w:rPr>
                <w:sz w:val="20"/>
                <w:szCs w:val="20"/>
                <w:color w:val="auto"/>
              </w:rPr>
            </w:pPr>
            <w:r>
              <w:rPr>
                <w:rFonts w:ascii="Arial" w:cs="Arial" w:eastAsia="Arial" w:hAnsi="Arial"/>
                <w:sz w:val="16"/>
                <w:szCs w:val="16"/>
                <w:color w:val="auto"/>
                <w:w w:val="99"/>
              </w:rPr>
              <w:t>Contractholder funds: Derivatives embedded</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in life and annuity contracts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80"/>
              <w:spacing w:after="0"/>
              <w:rPr>
                <w:sz w:val="20"/>
                <w:szCs w:val="20"/>
                <w:color w:val="auto"/>
              </w:rPr>
            </w:pPr>
            <w:r>
              <w:rPr>
                <w:rFonts w:ascii="Arial" w:cs="Arial" w:eastAsia="Arial" w:hAnsi="Arial"/>
                <w:sz w:val="16"/>
                <w:szCs w:val="16"/>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38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0" w:type="dxa"/>
            <w:vAlign w:val="bottom"/>
            <w:tcBorders>
              <w:bottom w:val="single" w:sz="8" w:color="005BA5"/>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recurring Level 3 liabilities</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5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4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980"/>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140" w:type="dxa"/>
            <w:vAlign w:val="bottom"/>
          </w:tcPr>
          <w:p>
            <w:pPr>
              <w:jc w:val="right"/>
              <w:ind w:right="95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Pr>
          <w:p>
            <w:pPr>
              <w:jc w:val="right"/>
              <w:ind w:right="39"/>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(262)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834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83425" cy="8890"/>
                    </a:xfrm>
                    <a:prstGeom prst="rect">
                      <a:avLst/>
                    </a:prstGeom>
                    <a:noFill/>
                  </pic:spPr>
                </pic:pic>
              </a:graphicData>
            </a:graphic>
          </wp:anchor>
        </w:drawing>
      </w:r>
    </w:p>
    <w:p>
      <w:pPr>
        <w:spacing w:after="0" w:line="85" w:lineRule="exact"/>
        <w:rPr>
          <w:sz w:val="20"/>
          <w:szCs w:val="20"/>
          <w:color w:val="auto"/>
        </w:rPr>
      </w:pPr>
    </w:p>
    <w:p>
      <w:pPr>
        <w:ind w:left="280" w:right="100" w:hanging="191"/>
        <w:spacing w:after="0" w:line="188" w:lineRule="auto"/>
        <w:tabs>
          <w:tab w:leader="none" w:pos="280" w:val="left"/>
        </w:tabs>
        <w:numPr>
          <w:ilvl w:val="0"/>
          <w:numId w:val="17"/>
        </w:numPr>
        <w:rPr>
          <w:rFonts w:ascii="Arial" w:cs="Arial" w:eastAsia="Arial" w:hAnsi="Arial"/>
          <w:sz w:val="23"/>
          <w:szCs w:val="23"/>
          <w:color w:val="005BA5"/>
          <w:vertAlign w:val="superscript"/>
        </w:rPr>
      </w:pPr>
      <w:r>
        <w:rPr>
          <w:rFonts w:ascii="Arial" w:cs="Arial" w:eastAsia="Arial" w:hAnsi="Arial"/>
          <w:sz w:val="14"/>
          <w:szCs w:val="14"/>
          <w:color w:val="auto"/>
        </w:rPr>
        <w:t>The effect to net income totals $27 million and is reported in the Condensed Consolidated Statements of Operations as follows: $4 million in realized capital gains and losses, $19 million in interest credited to contractholder funds and $4 million in life contract benefits.</w:t>
      </w:r>
    </w:p>
    <w:p>
      <w:pPr>
        <w:spacing w:after="0" w:line="1" w:lineRule="exact"/>
        <w:rPr>
          <w:rFonts w:ascii="Arial" w:cs="Arial" w:eastAsia="Arial" w:hAnsi="Arial"/>
          <w:sz w:val="23"/>
          <w:szCs w:val="23"/>
          <w:color w:val="005BA5"/>
          <w:vertAlign w:val="superscript"/>
        </w:rPr>
      </w:pPr>
    </w:p>
    <w:p>
      <w:pPr>
        <w:ind w:left="280" w:hanging="191"/>
        <w:spacing w:after="0" w:line="196" w:lineRule="auto"/>
        <w:tabs>
          <w:tab w:leader="none" w:pos="280" w:val="left"/>
        </w:tabs>
        <w:numPr>
          <w:ilvl w:val="0"/>
          <w:numId w:val="17"/>
        </w:numPr>
        <w:rPr>
          <w:rFonts w:ascii="Arial" w:cs="Arial" w:eastAsia="Arial" w:hAnsi="Arial"/>
          <w:sz w:val="23"/>
          <w:szCs w:val="23"/>
          <w:color w:val="005BA5"/>
          <w:vertAlign w:val="superscript"/>
        </w:rPr>
      </w:pPr>
      <w:r>
        <w:rPr>
          <w:rFonts w:ascii="Arial" w:cs="Arial" w:eastAsia="Arial" w:hAnsi="Arial"/>
          <w:sz w:val="14"/>
          <w:szCs w:val="14"/>
          <w:color w:val="auto"/>
        </w:rPr>
        <w:t>Comprises $1 million of assets.</w:t>
      </w:r>
    </w:p>
    <w:p>
      <w:pPr>
        <w:sectPr>
          <w:pgSz w:w="11900" w:h="16838" w:orient="portrait"/>
          <w:cols w:equalWidth="0" w:num="1">
            <w:col w:w="11420"/>
          </w:cols>
          <w:pgMar w:left="240" w:top="141" w:right="239" w:bottom="1440" w:gutter="0" w:footer="0" w:header="0"/>
        </w:sectPr>
      </w:pPr>
    </w:p>
    <w:p>
      <w:pPr>
        <w:spacing w:after="0" w:line="95"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Transfers between level categorizations may occur due to changes in the availability of market observable inputs, which generally are caused by changes in market conditions such as liquidity, trading volume or bid-ask spreads. Transfers between level categorizations may also occur due to changes in the valuation source, including situations where a fair value quote is not provided by the Company’s independent third-party valuation service provider resulting in the price becoming stale or replaced with a broker quote whose inputs have not been corroborated to be market observable. This situation will result in the transfer of a security into Level 3. Transfers in and out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of level categorizations are reported as having occurred at the beginning of the quarter in which the transfer occurred. Therefore, for all transfers into Level 3, all realized and changes in unrealized gains and losses in the quarter of transfer are reflected in the Level 3 rollforward table.</w:t>
      </w:r>
    </w:p>
    <w:p>
      <w:pPr>
        <w:spacing w:after="0" w:line="95" w:lineRule="exact"/>
        <w:rPr>
          <w:sz w:val="20"/>
          <w:szCs w:val="20"/>
          <w:color w:val="auto"/>
        </w:rPr>
      </w:pPr>
    </w:p>
    <w:p>
      <w:pPr>
        <w:ind w:right="140" w:firstLine="338"/>
        <w:spacing w:after="0" w:line="260" w:lineRule="auto"/>
        <w:rPr>
          <w:sz w:val="20"/>
          <w:szCs w:val="20"/>
          <w:color w:val="auto"/>
        </w:rPr>
      </w:pPr>
      <w:r>
        <w:rPr>
          <w:rFonts w:ascii="Arial" w:cs="Arial" w:eastAsia="Arial" w:hAnsi="Arial"/>
          <w:sz w:val="16"/>
          <w:szCs w:val="16"/>
          <w:color w:val="auto"/>
        </w:rPr>
        <w:t>There were no transfers between Level 1 and Level 2 during the three months ended March 31, 2019 or 2018.</w:t>
      </w:r>
    </w:p>
    <w:p>
      <w:pPr>
        <w:spacing w:after="0" w:line="838" w:lineRule="exact"/>
        <w:rPr>
          <w:sz w:val="20"/>
          <w:szCs w:val="20"/>
          <w:color w:val="auto"/>
        </w:rPr>
      </w:pPr>
    </w:p>
    <w:p>
      <w:pPr>
        <w:sectPr>
          <w:pgSz w:w="11900" w:h="16838" w:orient="portrait"/>
          <w:cols w:equalWidth="0" w:num="2">
            <w:col w:w="5440" w:space="500"/>
            <w:col w:w="5480"/>
          </w:cols>
          <w:pgMar w:left="240" w:top="141" w:right="239" w:bottom="1440" w:gutter="0" w:footer="0" w:header="0"/>
          <w:type w:val="continuous"/>
        </w:sectPr>
      </w:pPr>
    </w:p>
    <w:p>
      <w:pPr>
        <w:spacing w:after="0" w:line="141"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29</w:t>
      </w:r>
    </w:p>
    <w:p>
      <w:pPr>
        <w:sectPr>
          <w:pgSz w:w="11900" w:h="16838" w:orient="portrait"/>
          <w:cols w:equalWidth="0" w:num="1">
            <w:col w:w="11420"/>
          </w:cols>
          <w:pgMar w:left="240" w:top="141" w:right="2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ind w:firstLine="338"/>
        <w:spacing w:after="0" w:line="249" w:lineRule="auto"/>
        <w:rPr>
          <w:sz w:val="20"/>
          <w:szCs w:val="20"/>
          <w:color w:val="auto"/>
        </w:rPr>
      </w:pPr>
      <w:r>
        <w:rPr>
          <w:rFonts w:ascii="Arial" w:cs="Arial" w:eastAsia="Arial" w:hAnsi="Arial"/>
          <w:sz w:val="16"/>
          <w:szCs w:val="16"/>
          <w:color w:val="auto"/>
        </w:rPr>
        <w:t>Transfers into Level 3 during the three months ended March 31, 2019 and 2018 included situations where a quote was not provided by the Company’s independent third-party valuation service provider and as a result the price was stale or had been replaced with a broker quote where the inputs had not been corroborated to be market observable resulting in the security being classified as Level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firstLine="338"/>
        <w:spacing w:after="0" w:line="248" w:lineRule="auto"/>
        <w:rPr>
          <w:sz w:val="20"/>
          <w:szCs w:val="20"/>
          <w:color w:val="auto"/>
        </w:rPr>
      </w:pPr>
      <w:r>
        <w:rPr>
          <w:rFonts w:ascii="Arial" w:cs="Arial" w:eastAsia="Arial" w:hAnsi="Arial"/>
          <w:sz w:val="16"/>
          <w:szCs w:val="16"/>
          <w:color w:val="auto"/>
        </w:rPr>
        <w:t>Transfers out of Level 3 during the three months ended March 31, 2019 and 2018 included situations where a broker quote was used in the prior period and a quote became available from the Company’s independent third-party valuation service provider in the current period. A quote utilizing the new pricing source was not available as of the prior period, and any gains or losses related to the change in valuation source for individual securities were not significant.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114300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620"/>
            <w:col w:w="5480"/>
          </w:cols>
          <w:pgMar w:left="240" w:top="141" w:right="239" w:bottom="1440" w:gutter="0" w:footer="0" w:header="0"/>
        </w:sectPr>
      </w:pP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Valuation changes included in net income for Level 3 assets and liabilities held 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96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005BA5"/>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Equity securities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recurring Level 3 assets</w:t>
            </w:r>
          </w:p>
        </w:tc>
        <w:tc>
          <w:tcPr>
            <w:tcW w:w="96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Contractholder funds: Derivatives embedded in life and annuity contracts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recurring Level 3 liabilities</w:t>
            </w:r>
          </w:p>
        </w:tc>
        <w:tc>
          <w:tcPr>
            <w:tcW w:w="960" w:type="dxa"/>
            <w:vAlign w:val="bottom"/>
          </w:tcPr>
          <w:p>
            <w:pPr>
              <w:jc w:val="right"/>
              <w:ind w:right="759"/>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type w:val="continuous"/>
        </w:sectPr>
      </w:pPr>
    </w:p>
    <w:p>
      <w:pPr>
        <w:spacing w:after="0" w:line="72"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The amounts in the table above represent the change in unrealized gains and losses included in net income for the period of time that the asset or liability was held and determined to be in Level 3. These gains and losses result in $(24) million of net income for the three months ended March 31, 2019 and are reported as follows: $4 million in realized capital gains and losses, $8 million in life contract benefits and</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$(36) million in interest credited to contractholder funds. These gains and losses result in $25 million of net income for the three months ended March 31, 2018 and are reported as follows: $2 million in realized capital gains and losses, $19 million in interest credited to contractholder funds and $4 million in life contract benefits.</w:t>
      </w:r>
    </w:p>
    <w:p>
      <w:pPr>
        <w:spacing w:after="0" w:line="372"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color w:val="1666AF"/>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Carrying values and fair value estimates of financial instruments not carried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5"/>
          </w:tcPr>
          <w:p>
            <w:pPr>
              <w:ind w:left="580"/>
              <w:spacing w:after="0"/>
              <w:rPr>
                <w:sz w:val="20"/>
                <w:szCs w:val="20"/>
                <w:color w:val="auto"/>
              </w:rPr>
            </w:pPr>
            <w:r>
              <w:rPr>
                <w:rFonts w:ascii="Arial" w:cs="Arial" w:eastAsia="Arial" w:hAnsi="Arial"/>
                <w:sz w:val="16"/>
                <w:szCs w:val="16"/>
                <w:b w:val="1"/>
                <w:bCs w:val="1"/>
                <w:color w:val="auto"/>
              </w:rPr>
              <w:t>March 31, 2019</w:t>
            </w:r>
          </w:p>
        </w:tc>
        <w:tc>
          <w:tcPr>
            <w:tcW w:w="220" w:type="dxa"/>
            <w:vAlign w:val="bottom"/>
          </w:tcPr>
          <w:p>
            <w:pPr>
              <w:spacing w:after="0"/>
              <w:rPr>
                <w:sz w:val="18"/>
                <w:szCs w:val="18"/>
                <w:color w:val="auto"/>
              </w:rPr>
            </w:pPr>
          </w:p>
        </w:tc>
        <w:tc>
          <w:tcPr>
            <w:tcW w:w="23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December 31, 2018</w:t>
            </w:r>
          </w:p>
        </w:tc>
      </w:tr>
      <w:tr>
        <w:trPr>
          <w:trHeight w:val="249"/>
        </w:trPr>
        <w:tc>
          <w:tcPr>
            <w:tcW w:w="2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260" w:type="dxa"/>
            <w:vAlign w:val="bottom"/>
          </w:tcPr>
          <w:p>
            <w:pPr>
              <w:spacing w:after="0"/>
              <w:rPr>
                <w:sz w:val="21"/>
                <w:szCs w:val="21"/>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22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260" w:type="dxa"/>
            <w:vAlign w:val="bottom"/>
          </w:tcPr>
          <w:p>
            <w:pPr>
              <w:spacing w:after="0"/>
              <w:rPr>
                <w:sz w:val="21"/>
                <w:szCs w:val="21"/>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95"/>
              </w:rPr>
              <w:t>Fair</w:t>
            </w:r>
          </w:p>
        </w:tc>
      </w:tr>
      <w:tr>
        <w:trPr>
          <w:trHeight w:val="237"/>
        </w:trPr>
        <w:tc>
          <w:tcPr>
            <w:tcW w:w="3900" w:type="dxa"/>
            <w:vAlign w:val="bottom"/>
            <w:tcBorders>
              <w:bottom w:val="single" w:sz="8" w:color="005BA5"/>
            </w:tcBorders>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060" w:type="dxa"/>
            <w:vAlign w:val="bottom"/>
            <w:tcBorders>
              <w:bottom w:val="single" w:sz="8" w:color="005BA5"/>
            </w:tcBorders>
          </w:tcPr>
          <w:p>
            <w:pPr>
              <w:jc w:val="center"/>
              <w:ind w:left="719"/>
              <w:spacing w:after="0"/>
              <w:rPr>
                <w:sz w:val="20"/>
                <w:szCs w:val="20"/>
                <w:color w:val="auto"/>
              </w:rPr>
            </w:pPr>
            <w:r>
              <w:rPr>
                <w:rFonts w:ascii="Arial" w:cs="Arial" w:eastAsia="Arial" w:hAnsi="Arial"/>
                <w:sz w:val="16"/>
                <w:szCs w:val="16"/>
                <w:b w:val="1"/>
                <w:bCs w:val="1"/>
                <w:color w:val="auto"/>
                <w:w w:val="92"/>
              </w:rPr>
              <w:t>Fair value level</w:t>
            </w:r>
          </w:p>
        </w:tc>
        <w:tc>
          <w:tcPr>
            <w:tcW w:w="120" w:type="dxa"/>
            <w:vAlign w:val="bottom"/>
          </w:tcPr>
          <w:p>
            <w:pPr>
              <w:spacing w:after="0"/>
              <w:rPr>
                <w:sz w:val="20"/>
                <w:szCs w:val="20"/>
                <w:color w:val="auto"/>
              </w:rPr>
            </w:pPr>
          </w:p>
        </w:tc>
        <w:tc>
          <w:tcPr>
            <w:tcW w:w="2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center"/>
              <w:ind w:right="119"/>
              <w:spacing w:after="0"/>
              <w:rPr>
                <w:sz w:val="20"/>
                <w:szCs w:val="20"/>
                <w:color w:val="auto"/>
              </w:rPr>
            </w:pPr>
            <w:r>
              <w:rPr>
                <w:rFonts w:ascii="Arial" w:cs="Arial" w:eastAsia="Arial" w:hAnsi="Arial"/>
                <w:sz w:val="16"/>
                <w:szCs w:val="16"/>
                <w:b w:val="1"/>
                <w:bCs w:val="1"/>
                <w:color w:val="auto"/>
                <w:w w:val="92"/>
              </w:rPr>
              <w:t>value</w:t>
            </w:r>
          </w:p>
        </w:tc>
        <w:tc>
          <w:tcPr>
            <w:tcW w:w="120" w:type="dxa"/>
            <w:vAlign w:val="bottom"/>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980" w:type="dxa"/>
            <w:vAlign w:val="bottom"/>
            <w:tcBorders>
              <w:bottom w:val="single" w:sz="8" w:color="005BA5"/>
            </w:tcBorders>
          </w:tcPr>
          <w:p>
            <w:pPr>
              <w:jc w:val="center"/>
              <w:ind w:right="179"/>
              <w:spacing w:after="0"/>
              <w:rPr>
                <w:sz w:val="20"/>
                <w:szCs w:val="20"/>
                <w:color w:val="auto"/>
              </w:rPr>
            </w:pPr>
            <w:r>
              <w:rPr>
                <w:rFonts w:ascii="Arial" w:cs="Arial" w:eastAsia="Arial" w:hAnsi="Arial"/>
                <w:sz w:val="16"/>
                <w:szCs w:val="16"/>
                <w:b w:val="1"/>
                <w:bCs w:val="1"/>
                <w:color w:val="auto"/>
                <w:w w:val="87"/>
              </w:rPr>
              <w:t>value</w:t>
            </w:r>
          </w:p>
        </w:tc>
        <w:tc>
          <w:tcPr>
            <w:tcW w:w="100" w:type="dxa"/>
            <w:vAlign w:val="bottom"/>
          </w:tcPr>
          <w:p>
            <w:pPr>
              <w:spacing w:after="0"/>
              <w:rPr>
                <w:sz w:val="20"/>
                <w:szCs w:val="20"/>
                <w:color w:val="auto"/>
              </w:rPr>
            </w:pPr>
          </w:p>
        </w:tc>
        <w:tc>
          <w:tcPr>
            <w:tcW w:w="220" w:type="dxa"/>
            <w:vAlign w:val="bottom"/>
            <w:tcBorders>
              <w:bottom w:val="single" w:sz="8" w:color="005BA5"/>
            </w:tcBorders>
          </w:tcPr>
          <w:p>
            <w:pPr>
              <w:spacing w:after="0"/>
              <w:rPr>
                <w:sz w:val="20"/>
                <w:szCs w:val="20"/>
                <w:color w:val="auto"/>
              </w:rPr>
            </w:pPr>
          </w:p>
        </w:tc>
        <w:tc>
          <w:tcPr>
            <w:tcW w:w="1020" w:type="dxa"/>
            <w:vAlign w:val="bottom"/>
            <w:tcBorders>
              <w:bottom w:val="single" w:sz="8" w:color="005BA5"/>
            </w:tcBorders>
          </w:tcPr>
          <w:p>
            <w:pPr>
              <w:jc w:val="center"/>
              <w:ind w:right="119"/>
              <w:spacing w:after="0"/>
              <w:rPr>
                <w:sz w:val="20"/>
                <w:szCs w:val="20"/>
                <w:color w:val="auto"/>
              </w:rPr>
            </w:pPr>
            <w:r>
              <w:rPr>
                <w:rFonts w:ascii="Arial" w:cs="Arial" w:eastAsia="Arial" w:hAnsi="Arial"/>
                <w:sz w:val="16"/>
                <w:szCs w:val="16"/>
                <w:b w:val="1"/>
                <w:bCs w:val="1"/>
                <w:color w:val="auto"/>
                <w:w w:val="92"/>
              </w:rPr>
              <w:t>value</w:t>
            </w:r>
          </w:p>
        </w:tc>
        <w:tc>
          <w:tcPr>
            <w:tcW w:w="120" w:type="dxa"/>
            <w:vAlign w:val="bottom"/>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980" w:type="dxa"/>
            <w:vAlign w:val="bottom"/>
            <w:tcBorders>
              <w:bottom w:val="single" w:sz="8" w:color="005BA5"/>
            </w:tcBorders>
          </w:tcPr>
          <w:p>
            <w:pPr>
              <w:jc w:val="center"/>
              <w:ind w:right="179"/>
              <w:spacing w:after="0"/>
              <w:rPr>
                <w:sz w:val="20"/>
                <w:szCs w:val="20"/>
                <w:color w:val="auto"/>
              </w:rPr>
            </w:pPr>
            <w:r>
              <w:rPr>
                <w:rFonts w:ascii="Arial" w:cs="Arial" w:eastAsia="Arial" w:hAnsi="Arial"/>
                <w:sz w:val="16"/>
                <w:szCs w:val="16"/>
                <w:b w:val="1"/>
                <w:bCs w:val="1"/>
                <w:color w:val="auto"/>
                <w:w w:val="87"/>
              </w:rPr>
              <w:t>value</w:t>
            </w: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Mortgage loans</w:t>
            </w:r>
          </w:p>
        </w:tc>
        <w:tc>
          <w:tcPr>
            <w:tcW w:w="2180" w:type="dxa"/>
            <w:vAlign w:val="bottom"/>
            <w:gridSpan w:val="2"/>
          </w:tcPr>
          <w:p>
            <w:pPr>
              <w:jc w:val="center"/>
              <w:ind w:left="619"/>
              <w:spacing w:after="0"/>
              <w:rPr>
                <w:sz w:val="20"/>
                <w:szCs w:val="20"/>
                <w:color w:val="auto"/>
              </w:rPr>
            </w:pPr>
            <w:r>
              <w:rPr>
                <w:rFonts w:ascii="Arial" w:cs="Arial" w:eastAsia="Arial" w:hAnsi="Arial"/>
                <w:sz w:val="16"/>
                <w:szCs w:val="16"/>
                <w:color w:val="auto"/>
                <w:w w:val="92"/>
              </w:rPr>
              <w:t>Level 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4,681</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4,787</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4,670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4,703</w:t>
            </w:r>
          </w:p>
        </w:tc>
      </w:tr>
      <w:tr>
        <w:trPr>
          <w:trHeight w:val="33"/>
        </w:trPr>
        <w:tc>
          <w:tcPr>
            <w:tcW w:w="3900" w:type="dxa"/>
            <w:vAlign w:val="bottom"/>
            <w:tcBorders>
              <w:bottom w:val="single" w:sz="8" w:color="ACACAC"/>
            </w:tcBorders>
            <w:gridSpan w:val="2"/>
          </w:tcPr>
          <w:p>
            <w:pPr>
              <w:spacing w:after="0"/>
              <w:rPr>
                <w:sz w:val="2"/>
                <w:szCs w:val="2"/>
                <w:color w:val="auto"/>
              </w:rPr>
            </w:pPr>
          </w:p>
        </w:tc>
        <w:tc>
          <w:tcPr>
            <w:tcW w:w="20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31"/>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Bank loans</w:t>
            </w:r>
          </w:p>
        </w:tc>
        <w:tc>
          <w:tcPr>
            <w:tcW w:w="2180" w:type="dxa"/>
            <w:vAlign w:val="bottom"/>
            <w:gridSpan w:val="2"/>
          </w:tcPr>
          <w:p>
            <w:pPr>
              <w:jc w:val="center"/>
              <w:ind w:left="619"/>
              <w:spacing w:after="0"/>
              <w:rPr>
                <w:sz w:val="20"/>
                <w:szCs w:val="20"/>
                <w:color w:val="auto"/>
              </w:rPr>
            </w:pPr>
            <w:r>
              <w:rPr>
                <w:rFonts w:ascii="Arial" w:cs="Arial" w:eastAsia="Arial" w:hAnsi="Arial"/>
                <w:sz w:val="16"/>
                <w:szCs w:val="16"/>
                <w:color w:val="auto"/>
                <w:w w:val="92"/>
              </w:rPr>
              <w:t>Level 3</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1,298</w:t>
            </w:r>
          </w:p>
        </w:tc>
      </w:tr>
      <w:tr>
        <w:trPr>
          <w:trHeight w:val="33"/>
        </w:trPr>
        <w:tc>
          <w:tcPr>
            <w:tcW w:w="3900" w:type="dxa"/>
            <w:vAlign w:val="bottom"/>
            <w:tcBorders>
              <w:bottom w:val="single" w:sz="8" w:color="ACACAC"/>
            </w:tcBorders>
            <w:gridSpan w:val="2"/>
          </w:tcPr>
          <w:p>
            <w:pPr>
              <w:spacing w:after="0"/>
              <w:rPr>
                <w:sz w:val="2"/>
                <w:szCs w:val="2"/>
                <w:color w:val="auto"/>
              </w:rPr>
            </w:pPr>
          </w:p>
        </w:tc>
        <w:tc>
          <w:tcPr>
            <w:tcW w:w="20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31"/>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Agent loans</w:t>
            </w:r>
          </w:p>
        </w:tc>
        <w:tc>
          <w:tcPr>
            <w:tcW w:w="2180" w:type="dxa"/>
            <w:vAlign w:val="bottom"/>
            <w:gridSpan w:val="2"/>
          </w:tcPr>
          <w:p>
            <w:pPr>
              <w:jc w:val="center"/>
              <w:ind w:left="619"/>
              <w:spacing w:after="0"/>
              <w:rPr>
                <w:sz w:val="20"/>
                <w:szCs w:val="20"/>
                <w:color w:val="auto"/>
              </w:rPr>
            </w:pPr>
            <w:r>
              <w:rPr>
                <w:rFonts w:ascii="Arial" w:cs="Arial" w:eastAsia="Arial" w:hAnsi="Arial"/>
                <w:sz w:val="16"/>
                <w:szCs w:val="16"/>
                <w:color w:val="auto"/>
                <w:w w:val="92"/>
              </w:rPr>
              <w:t>Level 3</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617</w:t>
            </w:r>
          </w:p>
        </w:tc>
      </w:tr>
      <w:tr>
        <w:trPr>
          <w:trHeight w:val="33"/>
        </w:trPr>
        <w:tc>
          <w:tcPr>
            <w:tcW w:w="260" w:type="dxa"/>
            <w:vAlign w:val="bottom"/>
            <w:tcBorders>
              <w:bottom w:val="single" w:sz="8" w:color="005BA5"/>
            </w:tcBorders>
          </w:tcPr>
          <w:p>
            <w:pPr>
              <w:spacing w:after="0"/>
              <w:rPr>
                <w:sz w:val="2"/>
                <w:szCs w:val="2"/>
                <w:color w:val="auto"/>
              </w:rPr>
            </w:pPr>
          </w:p>
        </w:tc>
        <w:tc>
          <w:tcPr>
            <w:tcW w:w="3640" w:type="dxa"/>
            <w:vAlign w:val="bottom"/>
            <w:tcBorders>
              <w:bottom w:val="single" w:sz="8" w:color="005BA5"/>
            </w:tcBorders>
          </w:tcPr>
          <w:p>
            <w:pPr>
              <w:spacing w:after="0"/>
              <w:rPr>
                <w:sz w:val="2"/>
                <w:szCs w:val="2"/>
                <w:color w:val="auto"/>
              </w:rPr>
            </w:pPr>
          </w:p>
        </w:tc>
        <w:tc>
          <w:tcPr>
            <w:tcW w:w="20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460"/>
        </w:trPr>
        <w:tc>
          <w:tcPr>
            <w:tcW w:w="260" w:type="dxa"/>
            <w:vAlign w:val="bottom"/>
          </w:tcPr>
          <w:p>
            <w:pPr>
              <w:spacing w:after="0"/>
              <w:rPr>
                <w:sz w:val="24"/>
                <w:szCs w:val="24"/>
                <w:color w:val="auto"/>
              </w:rPr>
            </w:pPr>
          </w:p>
        </w:tc>
        <w:tc>
          <w:tcPr>
            <w:tcW w:w="3640" w:type="dxa"/>
            <w:vAlign w:val="bottom"/>
          </w:tcPr>
          <w:p>
            <w:pPr>
              <w:ind w:left="80"/>
              <w:spacing w:after="0"/>
              <w:rPr>
                <w:sz w:val="20"/>
                <w:szCs w:val="20"/>
                <w:color w:val="auto"/>
              </w:rPr>
            </w:pPr>
            <w:r>
              <w:rPr>
                <w:rFonts w:ascii="Arial" w:cs="Arial" w:eastAsia="Arial" w:hAnsi="Arial"/>
                <w:sz w:val="16"/>
                <w:szCs w:val="16"/>
                <w:b w:val="1"/>
                <w:bCs w:val="1"/>
                <w:color w:val="1666AF"/>
              </w:rPr>
              <w:t>Financial liabilities</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28"/>
        </w:trPr>
        <w:tc>
          <w:tcPr>
            <w:tcW w:w="7480" w:type="dxa"/>
            <w:vAlign w:val="bottom"/>
            <w:tcBorders>
              <w:bottom w:val="single" w:sz="8" w:color="auto"/>
            </w:tcBorders>
            <w:gridSpan w:val="7"/>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230"/>
        </w:trPr>
        <w:tc>
          <w:tcPr>
            <w:tcW w:w="748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Carrying values and fair value estimates of financial instruments not carried at fair value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7"/>
        </w:trPr>
        <w:tc>
          <w:tcPr>
            <w:tcW w:w="2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ind w:left="580"/>
              <w:spacing w:after="0"/>
              <w:rPr>
                <w:sz w:val="20"/>
                <w:szCs w:val="20"/>
                <w:color w:val="auto"/>
              </w:rPr>
            </w:pPr>
            <w:r>
              <w:rPr>
                <w:rFonts w:ascii="Arial" w:cs="Arial" w:eastAsia="Arial" w:hAnsi="Arial"/>
                <w:sz w:val="16"/>
                <w:szCs w:val="16"/>
                <w:b w:val="1"/>
                <w:bCs w:val="1"/>
                <w:color w:val="auto"/>
              </w:rPr>
              <w:t>March 31, 2019</w:t>
            </w:r>
          </w:p>
        </w:tc>
        <w:tc>
          <w:tcPr>
            <w:tcW w:w="220" w:type="dxa"/>
            <w:vAlign w:val="bottom"/>
          </w:tcPr>
          <w:p>
            <w:pPr>
              <w:spacing w:after="0"/>
              <w:rPr>
                <w:sz w:val="20"/>
                <w:szCs w:val="20"/>
                <w:color w:val="auto"/>
              </w:rPr>
            </w:pPr>
          </w:p>
        </w:tc>
        <w:tc>
          <w:tcPr>
            <w:tcW w:w="23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December 31, 2018</w:t>
            </w:r>
          </w:p>
        </w:tc>
      </w:tr>
      <w:tr>
        <w:trPr>
          <w:trHeight w:val="249"/>
        </w:trPr>
        <w:tc>
          <w:tcPr>
            <w:tcW w:w="2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260" w:type="dxa"/>
            <w:vAlign w:val="bottom"/>
          </w:tcPr>
          <w:p>
            <w:pPr>
              <w:spacing w:after="0"/>
              <w:rPr>
                <w:sz w:val="21"/>
                <w:szCs w:val="21"/>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220" w:type="dxa"/>
            <w:vAlign w:val="bottom"/>
          </w:tcPr>
          <w:p>
            <w:pPr>
              <w:spacing w:after="0"/>
              <w:rPr>
                <w:sz w:val="21"/>
                <w:szCs w:val="21"/>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260" w:type="dxa"/>
            <w:vAlign w:val="bottom"/>
          </w:tcPr>
          <w:p>
            <w:pPr>
              <w:spacing w:after="0"/>
              <w:rPr>
                <w:sz w:val="21"/>
                <w:szCs w:val="21"/>
                <w:color w:val="auto"/>
              </w:rPr>
            </w:pPr>
          </w:p>
        </w:tc>
        <w:tc>
          <w:tcPr>
            <w:tcW w:w="980" w:type="dxa"/>
            <w:vAlign w:val="bottom"/>
          </w:tcPr>
          <w:p>
            <w:pPr>
              <w:jc w:val="center"/>
              <w:ind w:right="179"/>
              <w:spacing w:after="0"/>
              <w:rPr>
                <w:sz w:val="20"/>
                <w:szCs w:val="20"/>
                <w:color w:val="auto"/>
              </w:rPr>
            </w:pPr>
            <w:r>
              <w:rPr>
                <w:rFonts w:ascii="Arial" w:cs="Arial" w:eastAsia="Arial" w:hAnsi="Arial"/>
                <w:sz w:val="16"/>
                <w:szCs w:val="16"/>
                <w:b w:val="1"/>
                <w:bCs w:val="1"/>
                <w:color w:val="auto"/>
                <w:w w:val="95"/>
              </w:rPr>
              <w:t>Fair</w:t>
            </w:r>
          </w:p>
        </w:tc>
      </w:tr>
      <w:tr>
        <w:trPr>
          <w:trHeight w:val="237"/>
        </w:trPr>
        <w:tc>
          <w:tcPr>
            <w:tcW w:w="3900" w:type="dxa"/>
            <w:vAlign w:val="bottom"/>
            <w:tcBorders>
              <w:bottom w:val="single" w:sz="8" w:color="005BA5"/>
            </w:tcBorders>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060" w:type="dxa"/>
            <w:vAlign w:val="bottom"/>
            <w:tcBorders>
              <w:bottom w:val="single" w:sz="8" w:color="005BA5"/>
            </w:tcBorders>
          </w:tcPr>
          <w:p>
            <w:pPr>
              <w:jc w:val="center"/>
              <w:ind w:left="719"/>
              <w:spacing w:after="0"/>
              <w:rPr>
                <w:sz w:val="20"/>
                <w:szCs w:val="20"/>
                <w:color w:val="auto"/>
              </w:rPr>
            </w:pPr>
            <w:r>
              <w:rPr>
                <w:rFonts w:ascii="Arial" w:cs="Arial" w:eastAsia="Arial" w:hAnsi="Arial"/>
                <w:sz w:val="16"/>
                <w:szCs w:val="16"/>
                <w:b w:val="1"/>
                <w:bCs w:val="1"/>
                <w:color w:val="auto"/>
                <w:w w:val="92"/>
              </w:rPr>
              <w:t>Fair value level</w:t>
            </w:r>
          </w:p>
        </w:tc>
        <w:tc>
          <w:tcPr>
            <w:tcW w:w="120" w:type="dxa"/>
            <w:vAlign w:val="bottom"/>
          </w:tcPr>
          <w:p>
            <w:pPr>
              <w:spacing w:after="0"/>
              <w:rPr>
                <w:sz w:val="20"/>
                <w:szCs w:val="20"/>
                <w:color w:val="auto"/>
              </w:rPr>
            </w:pPr>
          </w:p>
        </w:tc>
        <w:tc>
          <w:tcPr>
            <w:tcW w:w="2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center"/>
              <w:ind w:right="119"/>
              <w:spacing w:after="0"/>
              <w:rPr>
                <w:sz w:val="20"/>
                <w:szCs w:val="20"/>
                <w:color w:val="auto"/>
              </w:rPr>
            </w:pPr>
            <w:r>
              <w:rPr>
                <w:rFonts w:ascii="Arial" w:cs="Arial" w:eastAsia="Arial" w:hAnsi="Arial"/>
                <w:sz w:val="16"/>
                <w:szCs w:val="16"/>
                <w:b w:val="1"/>
                <w:bCs w:val="1"/>
                <w:color w:val="auto"/>
                <w:w w:val="92"/>
              </w:rPr>
              <w:t>value</w:t>
            </w:r>
          </w:p>
        </w:tc>
        <w:tc>
          <w:tcPr>
            <w:tcW w:w="120" w:type="dxa"/>
            <w:vAlign w:val="bottom"/>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980" w:type="dxa"/>
            <w:vAlign w:val="bottom"/>
            <w:tcBorders>
              <w:bottom w:val="single" w:sz="8" w:color="005BA5"/>
            </w:tcBorders>
          </w:tcPr>
          <w:p>
            <w:pPr>
              <w:jc w:val="center"/>
              <w:ind w:right="179"/>
              <w:spacing w:after="0"/>
              <w:rPr>
                <w:sz w:val="20"/>
                <w:szCs w:val="20"/>
                <w:color w:val="auto"/>
              </w:rPr>
            </w:pPr>
            <w:r>
              <w:rPr>
                <w:rFonts w:ascii="Arial" w:cs="Arial" w:eastAsia="Arial" w:hAnsi="Arial"/>
                <w:sz w:val="16"/>
                <w:szCs w:val="16"/>
                <w:b w:val="1"/>
                <w:bCs w:val="1"/>
                <w:color w:val="auto"/>
                <w:w w:val="87"/>
              </w:rPr>
              <w:t>value</w:t>
            </w:r>
          </w:p>
        </w:tc>
        <w:tc>
          <w:tcPr>
            <w:tcW w:w="100" w:type="dxa"/>
            <w:vAlign w:val="bottom"/>
          </w:tcPr>
          <w:p>
            <w:pPr>
              <w:spacing w:after="0"/>
              <w:rPr>
                <w:sz w:val="20"/>
                <w:szCs w:val="20"/>
                <w:color w:val="auto"/>
              </w:rPr>
            </w:pPr>
          </w:p>
        </w:tc>
        <w:tc>
          <w:tcPr>
            <w:tcW w:w="220" w:type="dxa"/>
            <w:vAlign w:val="bottom"/>
            <w:tcBorders>
              <w:bottom w:val="single" w:sz="8" w:color="005BA5"/>
            </w:tcBorders>
          </w:tcPr>
          <w:p>
            <w:pPr>
              <w:spacing w:after="0"/>
              <w:rPr>
                <w:sz w:val="20"/>
                <w:szCs w:val="20"/>
                <w:color w:val="auto"/>
              </w:rPr>
            </w:pPr>
          </w:p>
        </w:tc>
        <w:tc>
          <w:tcPr>
            <w:tcW w:w="1020" w:type="dxa"/>
            <w:vAlign w:val="bottom"/>
            <w:tcBorders>
              <w:bottom w:val="single" w:sz="8" w:color="005BA5"/>
            </w:tcBorders>
          </w:tcPr>
          <w:p>
            <w:pPr>
              <w:jc w:val="center"/>
              <w:ind w:right="119"/>
              <w:spacing w:after="0"/>
              <w:rPr>
                <w:sz w:val="20"/>
                <w:szCs w:val="20"/>
                <w:color w:val="auto"/>
              </w:rPr>
            </w:pPr>
            <w:r>
              <w:rPr>
                <w:rFonts w:ascii="Arial" w:cs="Arial" w:eastAsia="Arial" w:hAnsi="Arial"/>
                <w:sz w:val="16"/>
                <w:szCs w:val="16"/>
                <w:b w:val="1"/>
                <w:bCs w:val="1"/>
                <w:color w:val="auto"/>
                <w:w w:val="92"/>
              </w:rPr>
              <w:t>value</w:t>
            </w:r>
          </w:p>
        </w:tc>
        <w:tc>
          <w:tcPr>
            <w:tcW w:w="120" w:type="dxa"/>
            <w:vAlign w:val="bottom"/>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980" w:type="dxa"/>
            <w:vAlign w:val="bottom"/>
            <w:tcBorders>
              <w:bottom w:val="single" w:sz="8" w:color="005BA5"/>
            </w:tcBorders>
          </w:tcPr>
          <w:p>
            <w:pPr>
              <w:jc w:val="center"/>
              <w:ind w:right="179"/>
              <w:spacing w:after="0"/>
              <w:rPr>
                <w:sz w:val="20"/>
                <w:szCs w:val="20"/>
                <w:color w:val="auto"/>
              </w:rPr>
            </w:pPr>
            <w:r>
              <w:rPr>
                <w:rFonts w:ascii="Arial" w:cs="Arial" w:eastAsia="Arial" w:hAnsi="Arial"/>
                <w:sz w:val="16"/>
                <w:szCs w:val="16"/>
                <w:b w:val="1"/>
                <w:bCs w:val="1"/>
                <w:color w:val="auto"/>
                <w:w w:val="87"/>
              </w:rPr>
              <w:t>value</w:t>
            </w: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Contractholder funds on investment contracts</w:t>
            </w:r>
          </w:p>
        </w:tc>
        <w:tc>
          <w:tcPr>
            <w:tcW w:w="2180" w:type="dxa"/>
            <w:vAlign w:val="bottom"/>
            <w:gridSpan w:val="2"/>
          </w:tcPr>
          <w:p>
            <w:pPr>
              <w:jc w:val="center"/>
              <w:ind w:left="619"/>
              <w:spacing w:after="0"/>
              <w:rPr>
                <w:sz w:val="20"/>
                <w:szCs w:val="20"/>
                <w:color w:val="auto"/>
              </w:rPr>
            </w:pPr>
            <w:r>
              <w:rPr>
                <w:rFonts w:ascii="Arial" w:cs="Arial" w:eastAsia="Arial" w:hAnsi="Arial"/>
                <w:sz w:val="16"/>
                <w:szCs w:val="16"/>
                <w:color w:val="auto"/>
                <w:w w:val="92"/>
              </w:rPr>
              <w:t>Level 3</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9,015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9,626</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9,250</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9,665</w:t>
            </w:r>
          </w:p>
        </w:tc>
      </w:tr>
      <w:tr>
        <w:trPr>
          <w:trHeight w:val="33"/>
        </w:trPr>
        <w:tc>
          <w:tcPr>
            <w:tcW w:w="3900" w:type="dxa"/>
            <w:vAlign w:val="bottom"/>
            <w:tcBorders>
              <w:bottom w:val="single" w:sz="8" w:color="ACACAC"/>
            </w:tcBorders>
            <w:gridSpan w:val="2"/>
          </w:tcPr>
          <w:p>
            <w:pPr>
              <w:spacing w:after="0"/>
              <w:rPr>
                <w:sz w:val="2"/>
                <w:szCs w:val="2"/>
                <w:color w:val="auto"/>
              </w:rPr>
            </w:pPr>
          </w:p>
        </w:tc>
        <w:tc>
          <w:tcPr>
            <w:tcW w:w="20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31"/>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Long-term debt</w:t>
            </w:r>
          </w:p>
        </w:tc>
        <w:tc>
          <w:tcPr>
            <w:tcW w:w="2180" w:type="dxa"/>
            <w:vAlign w:val="bottom"/>
            <w:gridSpan w:val="2"/>
          </w:tcPr>
          <w:p>
            <w:pPr>
              <w:jc w:val="center"/>
              <w:ind w:left="619"/>
              <w:spacing w:after="0"/>
              <w:rPr>
                <w:sz w:val="20"/>
                <w:szCs w:val="20"/>
                <w:color w:val="auto"/>
              </w:rPr>
            </w:pPr>
            <w:r>
              <w:rPr>
                <w:rFonts w:ascii="Arial" w:cs="Arial" w:eastAsia="Arial" w:hAnsi="Arial"/>
                <w:sz w:val="16"/>
                <w:szCs w:val="16"/>
                <w:color w:val="auto"/>
                <w:w w:val="92"/>
              </w:rPr>
              <w:t>Level 2</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6,453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6,985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6,451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6,708</w:t>
            </w:r>
          </w:p>
        </w:tc>
      </w:tr>
      <w:tr>
        <w:trPr>
          <w:trHeight w:val="33"/>
        </w:trPr>
        <w:tc>
          <w:tcPr>
            <w:tcW w:w="3900" w:type="dxa"/>
            <w:vAlign w:val="bottom"/>
            <w:tcBorders>
              <w:bottom w:val="single" w:sz="8" w:color="ACACAC"/>
            </w:tcBorders>
            <w:gridSpan w:val="2"/>
          </w:tcPr>
          <w:p>
            <w:pPr>
              <w:spacing w:after="0"/>
              <w:rPr>
                <w:sz w:val="2"/>
                <w:szCs w:val="2"/>
                <w:color w:val="auto"/>
              </w:rPr>
            </w:pPr>
          </w:p>
        </w:tc>
        <w:tc>
          <w:tcPr>
            <w:tcW w:w="20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31"/>
        </w:trPr>
        <w:tc>
          <w:tcPr>
            <w:tcW w:w="3900" w:type="dxa"/>
            <w:vAlign w:val="bottom"/>
            <w:gridSpan w:val="2"/>
          </w:tcPr>
          <w:p>
            <w:pPr>
              <w:ind w:left="40"/>
              <w:spacing w:after="0"/>
              <w:rPr>
                <w:sz w:val="20"/>
                <w:szCs w:val="20"/>
                <w:color w:val="auto"/>
              </w:rPr>
            </w:pPr>
            <w:r>
              <w:rPr>
                <w:rFonts w:ascii="Arial" w:cs="Arial" w:eastAsia="Arial" w:hAnsi="Arial"/>
                <w:sz w:val="16"/>
                <w:szCs w:val="16"/>
                <w:color w:val="auto"/>
              </w:rPr>
              <w:t>Liability for collateral</w:t>
            </w:r>
          </w:p>
        </w:tc>
        <w:tc>
          <w:tcPr>
            <w:tcW w:w="2180" w:type="dxa"/>
            <w:vAlign w:val="bottom"/>
            <w:gridSpan w:val="2"/>
          </w:tcPr>
          <w:p>
            <w:pPr>
              <w:jc w:val="center"/>
              <w:ind w:left="619"/>
              <w:spacing w:after="0"/>
              <w:rPr>
                <w:sz w:val="20"/>
                <w:szCs w:val="20"/>
                <w:color w:val="auto"/>
              </w:rPr>
            </w:pPr>
            <w:r>
              <w:rPr>
                <w:rFonts w:ascii="Arial" w:cs="Arial" w:eastAsia="Arial" w:hAnsi="Arial"/>
                <w:sz w:val="16"/>
                <w:szCs w:val="16"/>
                <w:color w:val="auto"/>
                <w:w w:val="92"/>
              </w:rPr>
              <w:t>Level 2</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1,973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1,458</w:t>
            </w:r>
          </w:p>
        </w:tc>
      </w:tr>
      <w:tr>
        <w:trPr>
          <w:trHeight w:val="33"/>
        </w:trPr>
        <w:tc>
          <w:tcPr>
            <w:tcW w:w="260" w:type="dxa"/>
            <w:vAlign w:val="bottom"/>
            <w:tcBorders>
              <w:bottom w:val="single" w:sz="8" w:color="005BA5"/>
            </w:tcBorders>
          </w:tcPr>
          <w:p>
            <w:pPr>
              <w:spacing w:after="0"/>
              <w:rPr>
                <w:sz w:val="2"/>
                <w:szCs w:val="2"/>
                <w:color w:val="auto"/>
              </w:rPr>
            </w:pPr>
          </w:p>
        </w:tc>
        <w:tc>
          <w:tcPr>
            <w:tcW w:w="3640" w:type="dxa"/>
            <w:vAlign w:val="bottom"/>
            <w:tcBorders>
              <w:bottom w:val="single" w:sz="8" w:color="005BA5"/>
            </w:tcBorders>
          </w:tcPr>
          <w:p>
            <w:pPr>
              <w:spacing w:after="0"/>
              <w:rPr>
                <w:sz w:val="2"/>
                <w:szCs w:val="2"/>
                <w:color w:val="auto"/>
              </w:rPr>
            </w:pPr>
          </w:p>
        </w:tc>
        <w:tc>
          <w:tcPr>
            <w:tcW w:w="20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919"/>
        </w:trPr>
        <w:tc>
          <w:tcPr>
            <w:tcW w:w="260" w:type="dxa"/>
            <w:vAlign w:val="bottom"/>
          </w:tcPr>
          <w:p>
            <w:pPr>
              <w:spacing w:after="0"/>
              <w:rPr>
                <w:sz w:val="20"/>
                <w:szCs w:val="20"/>
                <w:color w:val="auto"/>
              </w:rPr>
            </w:pPr>
            <w:r>
              <w:rPr>
                <w:rFonts w:ascii="Arial" w:cs="Arial" w:eastAsia="Arial" w:hAnsi="Arial"/>
                <w:sz w:val="16"/>
                <w:szCs w:val="16"/>
                <w:color w:val="1666AF"/>
              </w:rPr>
              <w:t>30</w:t>
            </w:r>
          </w:p>
        </w:tc>
        <w:tc>
          <w:tcPr>
            <w:tcW w:w="3640" w:type="dxa"/>
            <w:vAlign w:val="bottom"/>
          </w:tcPr>
          <w:p>
            <w:pPr>
              <w:ind w:left="200"/>
              <w:spacing w:after="0"/>
              <w:rPr>
                <w:sz w:val="20"/>
                <w:szCs w:val="20"/>
                <w:color w:val="auto"/>
              </w:rPr>
            </w:pPr>
            <w:r>
              <w:rPr>
                <w:rFonts w:ascii="Arial" w:cs="Arial" w:eastAsia="Arial" w:hAnsi="Arial"/>
                <w:sz w:val="16"/>
                <w:szCs w:val="16"/>
                <w:color w:val="auto"/>
              </w:rPr>
              <w:t>www.allstate.com</w:t>
            </w: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-141605</wp:posOffset>
            </wp:positionV>
            <wp:extent cx="111760" cy="1117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7</w:t>
      </w:r>
      <w:r>
        <w:rPr>
          <w:sz w:val="20"/>
          <w:szCs w:val="20"/>
          <w:color w:val="auto"/>
        </w:rPr>
        <w:tab/>
      </w:r>
      <w:r>
        <w:rPr>
          <w:rFonts w:ascii="Arial" w:cs="Arial" w:eastAsia="Arial" w:hAnsi="Arial"/>
          <w:sz w:val="19"/>
          <w:szCs w:val="19"/>
          <w:b w:val="1"/>
          <w:bCs w:val="1"/>
          <w:color w:val="auto"/>
        </w:rPr>
        <w:t>Derivative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164" w:lineRule="exact"/>
        <w:rPr>
          <w:sz w:val="20"/>
          <w:szCs w:val="20"/>
          <w:color w:val="auto"/>
        </w:rPr>
      </w:pPr>
    </w:p>
    <w:p>
      <w:pPr>
        <w:ind w:right="20" w:firstLine="324"/>
        <w:spacing w:after="0" w:line="249" w:lineRule="auto"/>
        <w:rPr>
          <w:sz w:val="20"/>
          <w:szCs w:val="20"/>
          <w:color w:val="auto"/>
        </w:rPr>
      </w:pPr>
      <w:r>
        <w:rPr>
          <w:rFonts w:ascii="Arial" w:cs="Arial" w:eastAsia="Arial" w:hAnsi="Arial"/>
          <w:sz w:val="16"/>
          <w:szCs w:val="16"/>
          <w:color w:val="auto"/>
        </w:rPr>
        <w:t>The Company uses derivatives for risk reduction and to increase investment portfolio returns through asset replication. Risk reduction activity is focused on managing the risks with certain assets and liabilities arising from the potential adverse impacts from changes in risk-free interest rates, changes in equity market valuations, increases in credit spreads and foreign currency fluctuations.</w:t>
      </w:r>
    </w:p>
    <w:p>
      <w:pPr>
        <w:spacing w:after="0" w:line="97" w:lineRule="exact"/>
        <w:rPr>
          <w:sz w:val="20"/>
          <w:szCs w:val="20"/>
          <w:color w:val="auto"/>
        </w:rPr>
      </w:pPr>
    </w:p>
    <w:p>
      <w:pPr>
        <w:ind w:right="20" w:firstLine="324"/>
        <w:spacing w:after="0" w:line="248" w:lineRule="auto"/>
        <w:rPr>
          <w:sz w:val="20"/>
          <w:szCs w:val="20"/>
          <w:color w:val="auto"/>
        </w:rPr>
      </w:pPr>
      <w:r>
        <w:rPr>
          <w:rFonts w:ascii="Arial" w:cs="Arial" w:eastAsia="Arial" w:hAnsi="Arial"/>
          <w:sz w:val="16"/>
          <w:szCs w:val="16"/>
          <w:color w:val="auto"/>
        </w:rPr>
        <w:t>Asset replication refers to the “synthetic” creation of assets through the use of derivatives. The Company replicates fixed income securities using a combination of a credit default swap, index total return swap, or a foreign currency forward contract and one or more highly rated fixed income securities, primarily investment grade host bonds, to synthetically replicate the economic characteristics of one or more cash market securities. The Company replicates equity securities using futures, index total return swaps, and options to increase equity exposure.</w:t>
      </w:r>
    </w:p>
    <w:p>
      <w:pPr>
        <w:spacing w:after="0" w:line="100"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Property-Liability may use interest rate swaps, swaptions, futures and options to manage the interest rate risks of existing investments. These instruments are utilized to change the duration of the portfolio in order to offset the economic effect that interest rates would otherwise have on the fair value of its fixed income securities. Fixed income index total return swaps are used to offset valuation losses in the fixed income portfolio during periods of declining market values. Credit default swaps are typically used to mitigate the credit risk within the Property-Liability fixed income portfolio. Equity index total return swaps, futures and options are used by Property-Liability to offset valuation losses in the equity portfolio during periods of declining equity market values. In addition, equity futures are used to hedge the market risk related to deferred compensation liability contracts. Forward contracts are primarily used by Property-Liability to hedge foreign currency risk associated with holding foreign currency denominated investments and foreign operations.</w:t>
      </w:r>
    </w:p>
    <w:p>
      <w:pPr>
        <w:spacing w:after="0" w:line="104"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Asset-liability management is a risk management strategy that is principally employed by Allstate Life and Allstate Annuities to balance the respective interest-rate sensitivities of its assets and liabilities. Depending upon the attributes of the assets acquired and liabilities issued, derivative instruments such as interest rate swaps, caps, swaptions and futures are utilized to change the interest rate characteristics of existing assets and liabilities to ensure the relationship is maintained within specified ranges and to reduce exposure to rising or falling interest rates. Fixed income index total return swaps are used to offset valuation losses in the portfolio during periods of declining market values. Credit default swaps are typically used to mitigate the credit risk within the Allstate Life and Allstate Annuities fixed income portfolios. Futures and options are used for hedging the equity exposure contained in equity indexed life and annuity product contracts that offer equity returns to contractholders. In addition, the Company uses equity index total return swaps, options and futures to</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offset valuation losses in the equity portfolio during periods of declining equity market values. Foreign currency swaps and forwards are primarily used to reduce the foreign currency risk associated with holding foreign currency denominated investments.</w:t>
      </w:r>
    </w:p>
    <w:p>
      <w:pPr>
        <w:spacing w:after="0" w:line="95" w:lineRule="exact"/>
        <w:rPr>
          <w:sz w:val="20"/>
          <w:szCs w:val="20"/>
          <w:color w:val="auto"/>
        </w:rPr>
      </w:pPr>
    </w:p>
    <w:p>
      <w:pPr>
        <w:ind w:right="280" w:firstLine="324"/>
        <w:spacing w:after="0" w:line="249" w:lineRule="auto"/>
        <w:rPr>
          <w:sz w:val="20"/>
          <w:szCs w:val="20"/>
          <w:color w:val="auto"/>
        </w:rPr>
      </w:pPr>
      <w:r>
        <w:rPr>
          <w:rFonts w:ascii="Arial" w:cs="Arial" w:eastAsia="Arial" w:hAnsi="Arial"/>
          <w:sz w:val="16"/>
          <w:szCs w:val="16"/>
          <w:color w:val="auto"/>
        </w:rPr>
        <w:t>The Company also has derivatives embedded in non-derivative host contracts that are required to be separated from the host contracts and accounted for at fair value with changes in fair value of embedded derivatives reported in net income. The Company’s primary embedded derivatives are equity options in life and annuity product contracts, which provide returns linked to equity indices to contractholders.</w:t>
      </w:r>
    </w:p>
    <w:p>
      <w:pPr>
        <w:spacing w:after="0" w:line="97"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When derivatives meet specific criteria, they may be designated as accounting hedges and accounted for as fair value, cash flow, foreign currency fair value or foreign currency cash flow hedges. The Company designates certain investment risk transfer reinsurance agreements as fair value hedges when the hedging instrument is highly effective in offsetting the risk of changes in the fair value of the hedged item. The fair value of hedged liability is reported in contractholder funds in the Condensed Consolidated Statements of Financial Position. The impact from results of the fair value hedge is reported in interest credited to contractholder funds in the Condensed Consolidated Statements of Operations.</w:t>
      </w:r>
    </w:p>
    <w:p>
      <w:pPr>
        <w:spacing w:after="0" w:line="98" w:lineRule="exact"/>
        <w:rPr>
          <w:sz w:val="20"/>
          <w:szCs w:val="20"/>
          <w:color w:val="auto"/>
        </w:rPr>
      </w:pPr>
    </w:p>
    <w:p>
      <w:pPr>
        <w:ind w:right="220" w:firstLine="324"/>
        <w:spacing w:after="0" w:line="249" w:lineRule="auto"/>
        <w:rPr>
          <w:sz w:val="20"/>
          <w:szCs w:val="20"/>
          <w:color w:val="auto"/>
        </w:rPr>
      </w:pPr>
      <w:r>
        <w:rPr>
          <w:rFonts w:ascii="Arial" w:cs="Arial" w:eastAsia="Arial" w:hAnsi="Arial"/>
          <w:sz w:val="16"/>
          <w:szCs w:val="16"/>
          <w:color w:val="auto"/>
        </w:rPr>
        <w:t>The notional amounts specified in the contracts are used to calculate the exchange of contractual payments under the agreements and are generally not representative of the potential for gain or loss on these agreements. However, the notional amounts specified in credit default swaps where the Company has sold credit protection represent the maximum amount of potential loss, assuming no recoveries.</w:t>
      </w:r>
    </w:p>
    <w:p>
      <w:pPr>
        <w:spacing w:after="0" w:line="97" w:lineRule="exact"/>
        <w:rPr>
          <w:sz w:val="20"/>
          <w:szCs w:val="20"/>
          <w:color w:val="auto"/>
        </w:rPr>
      </w:pPr>
    </w:p>
    <w:p>
      <w:pPr>
        <w:ind w:right="20" w:firstLine="324"/>
        <w:spacing w:after="0" w:line="249" w:lineRule="auto"/>
        <w:rPr>
          <w:sz w:val="20"/>
          <w:szCs w:val="20"/>
          <w:color w:val="auto"/>
        </w:rPr>
      </w:pPr>
      <w:r>
        <w:rPr>
          <w:rFonts w:ascii="Arial" w:cs="Arial" w:eastAsia="Arial" w:hAnsi="Arial"/>
          <w:sz w:val="16"/>
          <w:szCs w:val="16"/>
          <w:color w:val="auto"/>
        </w:rPr>
        <w:t>Fair value, which is equal to the carrying value, is the estimated amount that the Company would receive or pay to terminate the derivative contracts at the reporting date. The carrying value amounts for OTC derivatives are further adjusted for the effects, if any, of enforceable master netting agreements and are presented on a net basis, by counterparty agreement, in the Condensed Consolidated Statements of Financial Position.</w:t>
      </w:r>
    </w:p>
    <w:p>
      <w:pPr>
        <w:spacing w:after="0" w:line="97" w:lineRule="exact"/>
        <w:rPr>
          <w:sz w:val="20"/>
          <w:szCs w:val="20"/>
          <w:color w:val="auto"/>
        </w:rPr>
      </w:pPr>
    </w:p>
    <w:p>
      <w:pPr>
        <w:ind w:right="60" w:firstLine="324"/>
        <w:spacing w:after="0" w:line="248" w:lineRule="auto"/>
        <w:rPr>
          <w:sz w:val="20"/>
          <w:szCs w:val="20"/>
          <w:color w:val="auto"/>
        </w:rPr>
      </w:pPr>
      <w:r>
        <w:rPr>
          <w:rFonts w:ascii="Arial" w:cs="Arial" w:eastAsia="Arial" w:hAnsi="Arial"/>
          <w:sz w:val="16"/>
          <w:szCs w:val="16"/>
          <w:color w:val="auto"/>
        </w:rPr>
        <w:t>For those derivatives which qualify for fair value hedge accounting, net income includes the changes in the fair value of both the derivative instrument and the hedged risk, and therefore reflects any hedging ineffectiveness. Non-hedge accounting is generally used for “portfolio” level hedging strategies where the terms of the individual hedged items do not meet the strict homogeneity requirements to permit the application of hedge accounting. For non-hedge derivatives, net income includes changes in fair value and accrued periodic settlements, when applicable. With the exception of non-hedge derivatives used for asset replication and non-hedge embedded derivatives, all of the Company’s derivatives are evaluated for their ongoing effectiveness as either</w:t>
      </w:r>
    </w:p>
    <w:p>
      <w:pPr>
        <w:spacing w:after="0" w:line="200"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140"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31</w:t>
      </w:r>
    </w:p>
    <w:p>
      <w:pPr>
        <w:sectPr>
          <w:pgSz w:w="11900" w:h="16838" w:orient="portrait"/>
          <w:cols w:equalWidth="0" w:num="1">
            <w:col w:w="11420"/>
          </w:cols>
          <w:pgMar w:left="240" w:top="141"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accounting hedge or non-hedge derivative financial instruments on at least a quarterly basis.</w:t>
      </w:r>
    </w:p>
    <w:p>
      <w:pPr>
        <w:spacing w:after="0" w:line="88" w:lineRule="exact"/>
        <w:rPr>
          <w:sz w:val="20"/>
          <w:szCs w:val="20"/>
          <w:color w:val="auto"/>
        </w:rPr>
      </w:pPr>
    </w:p>
    <w:p>
      <w:pPr>
        <w:ind w:right="40" w:firstLine="324"/>
        <w:spacing w:after="0" w:line="250" w:lineRule="auto"/>
        <w:rPr>
          <w:sz w:val="20"/>
          <w:szCs w:val="20"/>
          <w:color w:val="auto"/>
        </w:rPr>
      </w:pPr>
      <w:r>
        <w:rPr>
          <w:rFonts w:ascii="Arial" w:cs="Arial" w:eastAsia="Arial" w:hAnsi="Arial"/>
          <w:sz w:val="16"/>
          <w:szCs w:val="16"/>
          <w:color w:val="auto"/>
        </w:rPr>
        <w:t>The Company had one derivative used in fair value hedging relationships for the three months ended March 31, 2019 and 2018. The Company had no derivatives used in cash flow hedging relationships for the three months ended March 31, 2019 and had one foreign currency contract designated as a cash flow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hedge during the three months ended March 31, 2018. Losses deferred in AOCI on foreign currency derivatives during the term of the cash flow hedge were $3 million and $1 million as of March 31, 2019 and 2018, respectively. Amortization of net losses from AOCI is expected to be less than $1 million during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384810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29" w:lineRule="exact"/>
        <w:rPr>
          <w:sz w:val="20"/>
          <w:szCs w:val="20"/>
          <w:color w:val="auto"/>
        </w:rPr>
      </w:pPr>
    </w:p>
    <w:p>
      <w:pPr>
        <w:sectPr>
          <w:pgSz w:w="11900" w:h="16838" w:orient="portrait"/>
          <w:cols w:equalWidth="0" w:num="2">
            <w:col w:w="5480" w:space="460"/>
            <w:col w:w="5480"/>
          </w:cols>
          <w:pgMar w:left="240" w:top="141" w:right="239" w:bottom="666" w:gutter="0" w:footer="0" w:header="0"/>
        </w:sectPr>
      </w:pPr>
    </w:p>
    <w:p>
      <w:pPr>
        <w:ind w:left="40"/>
        <w:spacing w:after="0"/>
        <w:rPr>
          <w:sz w:val="20"/>
          <w:szCs w:val="20"/>
          <w:color w:val="auto"/>
        </w:rPr>
      </w:pPr>
      <w:r>
        <w:rPr>
          <w:rFonts w:ascii="Arial" w:cs="Arial" w:eastAsia="Arial" w:hAnsi="Arial"/>
          <w:sz w:val="16"/>
          <w:szCs w:val="16"/>
          <w:b w:val="1"/>
          <w:bCs w:val="1"/>
          <w:color w:val="auto"/>
        </w:rPr>
        <w:t>Summary of the volume and fair value positions of derivative instruments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 xml:space="preserve">Volume </w:t>
            </w:r>
            <w:r>
              <w:rPr>
                <w:rFonts w:ascii="Arial" w:cs="Arial" w:eastAsia="Arial" w:hAnsi="Arial"/>
                <w:sz w:val="11"/>
                <w:szCs w:val="11"/>
                <w:color w:val="005BA5"/>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2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 except number of contracts)</w:t>
            </w:r>
          </w:p>
        </w:tc>
        <w:tc>
          <w:tcPr>
            <w:tcW w:w="27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89"/>
              </w:rPr>
              <w:t>Balance sheet location</w:t>
            </w:r>
          </w:p>
        </w:tc>
        <w:tc>
          <w:tcPr>
            <w:tcW w:w="14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Notional</w:t>
            </w:r>
          </w:p>
        </w:tc>
        <w:tc>
          <w:tcPr>
            <w:tcW w:w="106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3"/>
                <w:szCs w:val="13"/>
                <w:color w:val="auto"/>
              </w:rPr>
            </w:pPr>
          </w:p>
        </w:tc>
        <w:tc>
          <w:tcPr>
            <w:tcW w:w="520" w:type="dxa"/>
            <w:vAlign w:val="bottom"/>
          </w:tcPr>
          <w:p>
            <w:pPr>
              <w:jc w:val="right"/>
              <w:ind w:right="128"/>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6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92"/>
        </w:trPr>
        <w:tc>
          <w:tcPr>
            <w:tcW w:w="4280" w:type="dxa"/>
            <w:vAlign w:val="bottom"/>
            <w:vMerge w:val="continue"/>
          </w:tcPr>
          <w:p>
            <w:pPr>
              <w:spacing w:after="0"/>
              <w:rPr>
                <w:sz w:val="16"/>
                <w:szCs w:val="16"/>
                <w:color w:val="auto"/>
              </w:rPr>
            </w:pPr>
          </w:p>
        </w:tc>
        <w:tc>
          <w:tcPr>
            <w:tcW w:w="2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contracts</w:t>
            </w: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value, net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asset</w:t>
            </w:r>
          </w:p>
        </w:tc>
        <w:tc>
          <w:tcPr>
            <w:tcW w:w="1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liability</w:t>
            </w:r>
          </w:p>
        </w:tc>
        <w:tc>
          <w:tcPr>
            <w:tcW w:w="0" w:type="dxa"/>
            <w:vAlign w:val="bottom"/>
          </w:tcPr>
          <w:p>
            <w:pPr>
              <w:spacing w:after="0"/>
              <w:rPr>
                <w:sz w:val="1"/>
                <w:szCs w:val="1"/>
                <w:color w:val="auto"/>
              </w:rPr>
            </w:pPr>
          </w:p>
        </w:tc>
      </w:tr>
      <w:tr>
        <w:trPr>
          <w:trHeight w:val="250"/>
        </w:trPr>
        <w:tc>
          <w:tcPr>
            <w:tcW w:w="4280" w:type="dxa"/>
            <w:vAlign w:val="bottom"/>
            <w:tcBorders>
              <w:top w:val="single" w:sz="8" w:color="005BA5"/>
              <w:bottom w:val="single" w:sz="8" w:color="ACACAC"/>
            </w:tcBorders>
          </w:tcPr>
          <w:p>
            <w:pPr>
              <w:ind w:left="40"/>
              <w:spacing w:after="0"/>
              <w:rPr>
                <w:sz w:val="20"/>
                <w:szCs w:val="20"/>
                <w:color w:val="auto"/>
              </w:rPr>
            </w:pPr>
            <w:r>
              <w:rPr>
                <w:rFonts w:ascii="Arial" w:cs="Arial" w:eastAsia="Arial" w:hAnsi="Arial"/>
                <w:sz w:val="14"/>
                <w:szCs w:val="14"/>
                <w:b w:val="1"/>
                <w:bCs w:val="1"/>
                <w:color w:val="auto"/>
              </w:rPr>
              <w:t>Asset derivatives</w:t>
            </w:r>
          </w:p>
        </w:tc>
        <w:tc>
          <w:tcPr>
            <w:tcW w:w="2580" w:type="dxa"/>
            <w:vAlign w:val="bottom"/>
            <w:tcBorders>
              <w:top w:val="single" w:sz="8" w:color="005BA5"/>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005BA5"/>
              <w:bottom w:val="single" w:sz="8" w:color="ACACAC"/>
            </w:tcBorders>
          </w:tcPr>
          <w:p>
            <w:pPr>
              <w:spacing w:after="0"/>
              <w:rPr>
                <w:sz w:val="21"/>
                <w:szCs w:val="21"/>
                <w:color w:val="auto"/>
              </w:rPr>
            </w:pPr>
          </w:p>
        </w:tc>
        <w:tc>
          <w:tcPr>
            <w:tcW w:w="780" w:type="dxa"/>
            <w:vAlign w:val="bottom"/>
            <w:tcBorders>
              <w:top w:val="single" w:sz="8" w:color="005BA5"/>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005BA5"/>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005BA5"/>
              <w:bottom w:val="single" w:sz="8" w:color="ACACAC"/>
            </w:tcBorders>
          </w:tcPr>
          <w:p>
            <w:pPr>
              <w:spacing w:after="0"/>
              <w:rPr>
                <w:sz w:val="21"/>
                <w:szCs w:val="21"/>
                <w:color w:val="auto"/>
              </w:rPr>
            </w:pPr>
          </w:p>
        </w:tc>
        <w:tc>
          <w:tcPr>
            <w:tcW w:w="520" w:type="dxa"/>
            <w:vAlign w:val="bottom"/>
            <w:tcBorders>
              <w:top w:val="single" w:sz="8" w:color="005BA5"/>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005BA5"/>
              <w:bottom w:val="single" w:sz="8" w:color="ACACAC"/>
            </w:tcBorders>
          </w:tcPr>
          <w:p>
            <w:pPr>
              <w:spacing w:after="0"/>
              <w:rPr>
                <w:sz w:val="21"/>
                <w:szCs w:val="21"/>
                <w:color w:val="auto"/>
              </w:rPr>
            </w:pPr>
          </w:p>
        </w:tc>
        <w:tc>
          <w:tcPr>
            <w:tcW w:w="520" w:type="dxa"/>
            <w:vAlign w:val="bottom"/>
            <w:tcBorders>
              <w:top w:val="single" w:sz="8" w:color="005BA5"/>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005BA5"/>
              <w:bottom w:val="single" w:sz="8" w:color="ACACAC"/>
            </w:tcBorders>
          </w:tcPr>
          <w:p>
            <w:pPr>
              <w:spacing w:after="0"/>
              <w:rPr>
                <w:sz w:val="21"/>
                <w:szCs w:val="21"/>
                <w:color w:val="auto"/>
              </w:rPr>
            </w:pPr>
          </w:p>
        </w:tc>
        <w:tc>
          <w:tcPr>
            <w:tcW w:w="660" w:type="dxa"/>
            <w:vAlign w:val="bottom"/>
            <w:tcBorders>
              <w:top w:val="single" w:sz="8" w:color="005BA5"/>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40"/>
              <w:spacing w:after="0"/>
              <w:rPr>
                <w:sz w:val="20"/>
                <w:szCs w:val="20"/>
                <w:color w:val="auto"/>
              </w:rPr>
            </w:pPr>
            <w:r>
              <w:rPr>
                <w:rFonts w:ascii="Arial" w:cs="Arial" w:eastAsia="Arial" w:hAnsi="Arial"/>
                <w:sz w:val="14"/>
                <w:szCs w:val="14"/>
                <w:b w:val="1"/>
                <w:bCs w:val="1"/>
                <w:color w:val="auto"/>
                <w:w w:val="92"/>
              </w:rPr>
              <w:t>Derivatives designated as fair value accounting hedging instruments</w:t>
            </w:r>
          </w:p>
        </w:tc>
        <w:tc>
          <w:tcPr>
            <w:tcW w:w="2580" w:type="dxa"/>
            <w:vAlign w:val="bottom"/>
            <w:tcBorders>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Pr>
          <w:p>
            <w:pPr>
              <w:ind w:left="280"/>
              <w:spacing w:after="0"/>
              <w:rPr>
                <w:sz w:val="20"/>
                <w:szCs w:val="20"/>
                <w:color w:val="auto"/>
              </w:rPr>
            </w:pPr>
            <w:r>
              <w:rPr>
                <w:rFonts w:ascii="Arial" w:cs="Arial" w:eastAsia="Arial" w:hAnsi="Arial"/>
                <w:sz w:val="14"/>
                <w:szCs w:val="14"/>
                <w:color w:val="auto"/>
              </w:rPr>
              <w:t>Other</w:t>
            </w:r>
          </w:p>
        </w:tc>
        <w:tc>
          <w:tcPr>
            <w:tcW w:w="2720" w:type="dxa"/>
            <w:vAlign w:val="bottom"/>
            <w:gridSpan w:val="2"/>
          </w:tcPr>
          <w:p>
            <w:pPr>
              <w:jc w:val="center"/>
              <w:ind w:right="500"/>
              <w:spacing w:after="0"/>
              <w:rPr>
                <w:sz w:val="20"/>
                <w:szCs w:val="20"/>
                <w:color w:val="auto"/>
              </w:rPr>
            </w:pPr>
            <w:r>
              <w:rPr>
                <w:rFonts w:ascii="Arial" w:cs="Arial" w:eastAsia="Arial" w:hAnsi="Arial"/>
                <w:sz w:val="14"/>
                <w:szCs w:val="14"/>
                <w:color w:val="auto"/>
                <w:w w:val="88"/>
              </w:rPr>
              <w:t>Other assets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06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80" w:type="dxa"/>
            <w:vAlign w:val="bottom"/>
            <w:tcBorders>
              <w:top w:val="single" w:sz="8" w:color="ACACAC"/>
              <w:bottom w:val="single" w:sz="8" w:color="ACACAC"/>
            </w:tcBorders>
          </w:tcPr>
          <w:p>
            <w:pPr>
              <w:ind w:left="40"/>
              <w:spacing w:after="0"/>
              <w:rPr>
                <w:sz w:val="20"/>
                <w:szCs w:val="20"/>
                <w:color w:val="auto"/>
              </w:rPr>
            </w:pPr>
            <w:r>
              <w:rPr>
                <w:rFonts w:ascii="Arial" w:cs="Arial" w:eastAsia="Arial" w:hAnsi="Arial"/>
                <w:sz w:val="14"/>
                <w:szCs w:val="14"/>
                <w:b w:val="1"/>
                <w:bCs w:val="1"/>
                <w:color w:val="auto"/>
              </w:rPr>
              <w:t>Derivatives not designated as accounting hedging instruments</w:t>
            </w:r>
          </w:p>
        </w:tc>
        <w:tc>
          <w:tcPr>
            <w:tcW w:w="2580" w:type="dxa"/>
            <w:vAlign w:val="bottom"/>
            <w:tcBorders>
              <w:top w:val="single" w:sz="8" w:color="ACACAC"/>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Interest rate contracts</w:t>
            </w:r>
          </w:p>
        </w:tc>
        <w:tc>
          <w:tcPr>
            <w:tcW w:w="2580" w:type="dxa"/>
            <w:vAlign w:val="bottom"/>
            <w:tcBorders>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Interest rate cap agreements</w:t>
            </w:r>
          </w:p>
        </w:tc>
        <w:tc>
          <w:tcPr>
            <w:tcW w:w="2580" w:type="dxa"/>
            <w:vAlign w:val="bottom"/>
            <w:tcBorders>
              <w:bottom w:val="single" w:sz="8" w:color="ACACAC"/>
            </w:tcBorders>
          </w:tcPr>
          <w:p>
            <w:pPr>
              <w:jc w:val="center"/>
              <w:ind w:right="308"/>
              <w:spacing w:after="0"/>
              <w:rPr>
                <w:sz w:val="20"/>
                <w:szCs w:val="20"/>
                <w:color w:val="auto"/>
              </w:rPr>
            </w:pPr>
            <w:r>
              <w:rPr>
                <w:rFonts w:ascii="Arial" w:cs="Arial" w:eastAsia="Arial" w:hAnsi="Arial"/>
                <w:sz w:val="14"/>
                <w:szCs w:val="14"/>
                <w:color w:val="auto"/>
                <w:w w:val="91"/>
              </w:rPr>
              <w:t>Other investments</w:t>
            </w: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940" w:type="dxa"/>
            <w:vAlign w:val="bottom"/>
            <w:tcBorders>
              <w:bottom w:val="single" w:sz="8" w:color="ACACAC"/>
            </w:tcBorders>
          </w:tcPr>
          <w:p>
            <w:pPr>
              <w:ind w:left="6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80" w:type="dxa"/>
            <w:vAlign w:val="bottom"/>
          </w:tcPr>
          <w:p>
            <w:pPr>
              <w:ind w:left="280"/>
              <w:spacing w:after="0"/>
              <w:rPr>
                <w:sz w:val="20"/>
                <w:szCs w:val="20"/>
                <w:color w:val="auto"/>
              </w:rPr>
            </w:pPr>
            <w:r>
              <w:rPr>
                <w:rFonts w:ascii="Arial" w:cs="Arial" w:eastAsia="Arial" w:hAnsi="Arial"/>
                <w:sz w:val="14"/>
                <w:szCs w:val="14"/>
                <w:color w:val="auto"/>
              </w:rPr>
              <w:t>Futures</w:t>
            </w:r>
          </w:p>
        </w:tc>
        <w:tc>
          <w:tcPr>
            <w:tcW w:w="2720" w:type="dxa"/>
            <w:vAlign w:val="bottom"/>
            <w:gridSpan w:val="2"/>
          </w:tcPr>
          <w:p>
            <w:pPr>
              <w:jc w:val="center"/>
              <w:ind w:right="500"/>
              <w:spacing w:after="0"/>
              <w:rPr>
                <w:sz w:val="20"/>
                <w:szCs w:val="20"/>
                <w:color w:val="auto"/>
              </w:rPr>
            </w:pPr>
            <w:r>
              <w:rPr>
                <w:rFonts w:ascii="Arial" w:cs="Arial" w:eastAsia="Arial" w:hAnsi="Arial"/>
                <w:sz w:val="14"/>
                <w:szCs w:val="14"/>
                <w:color w:val="auto"/>
                <w:w w:val="88"/>
              </w:rPr>
              <w:t>Other assets</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8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Equity and index contracts</w:t>
            </w:r>
          </w:p>
        </w:tc>
        <w:tc>
          <w:tcPr>
            <w:tcW w:w="2580" w:type="dxa"/>
            <w:vAlign w:val="bottom"/>
            <w:tcBorders>
              <w:top w:val="single" w:sz="8" w:color="ACACAC"/>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Options</w:t>
            </w:r>
          </w:p>
        </w:tc>
        <w:tc>
          <w:tcPr>
            <w:tcW w:w="2580" w:type="dxa"/>
            <w:vAlign w:val="bottom"/>
            <w:tcBorders>
              <w:bottom w:val="single" w:sz="8" w:color="ACACAC"/>
            </w:tcBorders>
          </w:tcPr>
          <w:p>
            <w:pPr>
              <w:jc w:val="center"/>
              <w:ind w:right="308"/>
              <w:spacing w:after="0"/>
              <w:rPr>
                <w:sz w:val="20"/>
                <w:szCs w:val="20"/>
                <w:color w:val="auto"/>
              </w:rPr>
            </w:pPr>
            <w:r>
              <w:rPr>
                <w:rFonts w:ascii="Arial" w:cs="Arial" w:eastAsia="Arial" w:hAnsi="Arial"/>
                <w:sz w:val="14"/>
                <w:szCs w:val="14"/>
                <w:color w:val="auto"/>
                <w:w w:val="91"/>
              </w:rPr>
              <w:t>Other investments</w:t>
            </w: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7,040</w:t>
            </w: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80" w:type="dxa"/>
            <w:vAlign w:val="bottom"/>
          </w:tcPr>
          <w:p>
            <w:pPr>
              <w:ind w:left="280"/>
              <w:spacing w:after="0"/>
              <w:rPr>
                <w:sz w:val="20"/>
                <w:szCs w:val="20"/>
                <w:color w:val="auto"/>
              </w:rPr>
            </w:pPr>
            <w:r>
              <w:rPr>
                <w:rFonts w:ascii="Arial" w:cs="Arial" w:eastAsia="Arial" w:hAnsi="Arial"/>
                <w:sz w:val="14"/>
                <w:szCs w:val="14"/>
                <w:color w:val="auto"/>
              </w:rPr>
              <w:t>Futures</w:t>
            </w:r>
          </w:p>
        </w:tc>
        <w:tc>
          <w:tcPr>
            <w:tcW w:w="2720" w:type="dxa"/>
            <w:vAlign w:val="bottom"/>
            <w:gridSpan w:val="2"/>
          </w:tcPr>
          <w:p>
            <w:pPr>
              <w:jc w:val="center"/>
              <w:ind w:right="500"/>
              <w:spacing w:after="0"/>
              <w:rPr>
                <w:sz w:val="20"/>
                <w:szCs w:val="20"/>
                <w:color w:val="auto"/>
              </w:rPr>
            </w:pPr>
            <w:r>
              <w:rPr>
                <w:rFonts w:ascii="Arial" w:cs="Arial" w:eastAsia="Arial" w:hAnsi="Arial"/>
                <w:sz w:val="14"/>
                <w:szCs w:val="14"/>
                <w:color w:val="auto"/>
                <w:w w:val="88"/>
              </w:rPr>
              <w:t>Other assets</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1,615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28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Total return index contracts</w:t>
            </w:r>
          </w:p>
        </w:tc>
        <w:tc>
          <w:tcPr>
            <w:tcW w:w="2580" w:type="dxa"/>
            <w:vAlign w:val="bottom"/>
            <w:tcBorders>
              <w:top w:val="single" w:sz="8" w:color="ACACAC"/>
              <w:bottom w:val="single" w:sz="8" w:color="ACACAC"/>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CACAC"/>
              <w:bottom w:val="single" w:sz="8" w:color="ACACAC"/>
            </w:tcBorders>
          </w:tcPr>
          <w:p>
            <w:pPr>
              <w:spacing w:after="0"/>
              <w:rPr>
                <w:sz w:val="22"/>
                <w:szCs w:val="22"/>
                <w:color w:val="auto"/>
              </w:rPr>
            </w:pPr>
          </w:p>
        </w:tc>
        <w:tc>
          <w:tcPr>
            <w:tcW w:w="78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CACAC"/>
              <w:bottom w:val="single" w:sz="8" w:color="ACACAC"/>
            </w:tcBorders>
          </w:tcPr>
          <w:p>
            <w:pPr>
              <w:spacing w:after="0"/>
              <w:rPr>
                <w:sz w:val="22"/>
                <w:szCs w:val="22"/>
                <w:color w:val="auto"/>
              </w:rPr>
            </w:pPr>
          </w:p>
        </w:tc>
        <w:tc>
          <w:tcPr>
            <w:tcW w:w="52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CACAC"/>
              <w:bottom w:val="single" w:sz="8" w:color="ACACAC"/>
            </w:tcBorders>
          </w:tcPr>
          <w:p>
            <w:pPr>
              <w:spacing w:after="0"/>
              <w:rPr>
                <w:sz w:val="22"/>
                <w:szCs w:val="22"/>
                <w:color w:val="auto"/>
              </w:rPr>
            </w:pPr>
          </w:p>
        </w:tc>
        <w:tc>
          <w:tcPr>
            <w:tcW w:w="52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CACAC"/>
              <w:bottom w:val="single" w:sz="8" w:color="ACACAC"/>
            </w:tcBorders>
          </w:tcPr>
          <w:p>
            <w:pPr>
              <w:spacing w:after="0"/>
              <w:rPr>
                <w:sz w:val="22"/>
                <w:szCs w:val="22"/>
                <w:color w:val="auto"/>
              </w:rPr>
            </w:pPr>
          </w:p>
        </w:tc>
        <w:tc>
          <w:tcPr>
            <w:tcW w:w="660" w:type="dxa"/>
            <w:vAlign w:val="bottom"/>
            <w:tcBorders>
              <w:top w:val="single" w:sz="8" w:color="ACACAC"/>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Total return swap agreements – fixed income</w:t>
            </w:r>
          </w:p>
        </w:tc>
        <w:tc>
          <w:tcPr>
            <w:tcW w:w="2580" w:type="dxa"/>
            <w:vAlign w:val="bottom"/>
            <w:tcBorders>
              <w:bottom w:val="single" w:sz="8" w:color="ACACAC"/>
            </w:tcBorders>
          </w:tcPr>
          <w:p>
            <w:pPr>
              <w:jc w:val="center"/>
              <w:ind w:right="308"/>
              <w:spacing w:after="0"/>
              <w:rPr>
                <w:sz w:val="20"/>
                <w:szCs w:val="20"/>
                <w:color w:val="auto"/>
              </w:rPr>
            </w:pPr>
            <w:r>
              <w:rPr>
                <w:rFonts w:ascii="Arial" w:cs="Arial" w:eastAsia="Arial" w:hAnsi="Arial"/>
                <w:sz w:val="14"/>
                <w:szCs w:val="14"/>
                <w:color w:val="auto"/>
                <w:w w:val="91"/>
              </w:rPr>
              <w:t>Other investments</w:t>
            </w: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940" w:type="dxa"/>
            <w:vAlign w:val="bottom"/>
            <w:tcBorders>
              <w:bottom w:val="single" w:sz="8" w:color="ACACAC"/>
            </w:tcBorders>
          </w:tcPr>
          <w:p>
            <w:pPr>
              <w:ind w:left="6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80" w:type="dxa"/>
            <w:vAlign w:val="bottom"/>
          </w:tcPr>
          <w:p>
            <w:pPr>
              <w:ind w:left="280"/>
              <w:spacing w:after="0"/>
              <w:rPr>
                <w:sz w:val="20"/>
                <w:szCs w:val="20"/>
                <w:color w:val="auto"/>
              </w:rPr>
            </w:pPr>
            <w:r>
              <w:rPr>
                <w:rFonts w:ascii="Arial" w:cs="Arial" w:eastAsia="Arial" w:hAnsi="Arial"/>
                <w:sz w:val="14"/>
                <w:szCs w:val="14"/>
                <w:color w:val="auto"/>
              </w:rPr>
              <w:t>Total return swap agreements – equity index</w:t>
            </w:r>
          </w:p>
        </w:tc>
        <w:tc>
          <w:tcPr>
            <w:tcW w:w="272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Other investments</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1"/>
                <w:szCs w:val="21"/>
                <w:color w:val="auto"/>
              </w:rPr>
            </w:pPr>
          </w:p>
        </w:tc>
        <w:tc>
          <w:tcPr>
            <w:tcW w:w="106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8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Foreign currency contracts</w:t>
            </w:r>
          </w:p>
        </w:tc>
        <w:tc>
          <w:tcPr>
            <w:tcW w:w="2580" w:type="dxa"/>
            <w:vAlign w:val="bottom"/>
            <w:tcBorders>
              <w:top w:val="single" w:sz="8" w:color="ACACAC"/>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Pr>
          <w:p>
            <w:pPr>
              <w:ind w:left="280"/>
              <w:spacing w:after="0"/>
              <w:rPr>
                <w:sz w:val="20"/>
                <w:szCs w:val="20"/>
                <w:color w:val="auto"/>
              </w:rPr>
            </w:pPr>
            <w:r>
              <w:rPr>
                <w:rFonts w:ascii="Arial" w:cs="Arial" w:eastAsia="Arial" w:hAnsi="Arial"/>
                <w:sz w:val="14"/>
                <w:szCs w:val="14"/>
                <w:color w:val="auto"/>
              </w:rPr>
              <w:t>Foreign currency forwards</w:t>
            </w:r>
          </w:p>
        </w:tc>
        <w:tc>
          <w:tcPr>
            <w:tcW w:w="272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Other investments</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1"/>
                <w:szCs w:val="21"/>
                <w:color w:val="auto"/>
              </w:rPr>
            </w:pPr>
          </w:p>
        </w:tc>
        <w:tc>
          <w:tcPr>
            <w:tcW w:w="106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428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Credit default contracts</w:t>
            </w:r>
          </w:p>
        </w:tc>
        <w:tc>
          <w:tcPr>
            <w:tcW w:w="2580" w:type="dxa"/>
            <w:vAlign w:val="bottom"/>
            <w:tcBorders>
              <w:top w:val="single" w:sz="8" w:color="ACACAC"/>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Credit default swaps – buying protection</w:t>
            </w:r>
          </w:p>
        </w:tc>
        <w:tc>
          <w:tcPr>
            <w:tcW w:w="2580" w:type="dxa"/>
            <w:vAlign w:val="bottom"/>
            <w:tcBorders>
              <w:bottom w:val="single" w:sz="8" w:color="ACACAC"/>
            </w:tcBorders>
          </w:tcPr>
          <w:p>
            <w:pPr>
              <w:jc w:val="center"/>
              <w:ind w:right="308"/>
              <w:spacing w:after="0"/>
              <w:rPr>
                <w:sz w:val="20"/>
                <w:szCs w:val="20"/>
                <w:color w:val="auto"/>
              </w:rPr>
            </w:pPr>
            <w:r>
              <w:rPr>
                <w:rFonts w:ascii="Arial" w:cs="Arial" w:eastAsia="Arial" w:hAnsi="Arial"/>
                <w:sz w:val="14"/>
                <w:szCs w:val="14"/>
                <w:color w:val="auto"/>
                <w:w w:val="91"/>
              </w:rPr>
              <w:t>Other investments</w:t>
            </w: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1"/>
                <w:szCs w:val="21"/>
                <w:color w:val="auto"/>
              </w:rPr>
            </w:pPr>
          </w:p>
        </w:tc>
        <w:tc>
          <w:tcPr>
            <w:tcW w:w="940" w:type="dxa"/>
            <w:vAlign w:val="bottom"/>
            <w:tcBorders>
              <w:bottom w:val="single" w:sz="8" w:color="ACACAC"/>
            </w:tcBorders>
          </w:tcPr>
          <w:p>
            <w:pPr>
              <w:ind w:left="6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005BA5"/>
            </w:tcBorders>
          </w:tcPr>
          <w:p>
            <w:pPr>
              <w:ind w:left="280"/>
              <w:spacing w:after="0"/>
              <w:rPr>
                <w:sz w:val="20"/>
                <w:szCs w:val="20"/>
                <w:color w:val="auto"/>
              </w:rPr>
            </w:pPr>
            <w:r>
              <w:rPr>
                <w:rFonts w:ascii="Arial" w:cs="Arial" w:eastAsia="Arial" w:hAnsi="Arial"/>
                <w:sz w:val="14"/>
                <w:szCs w:val="14"/>
                <w:color w:val="auto"/>
              </w:rPr>
              <w:t>Credit default swaps – selling protection</w:t>
            </w:r>
          </w:p>
        </w:tc>
        <w:tc>
          <w:tcPr>
            <w:tcW w:w="2580" w:type="dxa"/>
            <w:vAlign w:val="bottom"/>
            <w:tcBorders>
              <w:bottom w:val="single" w:sz="8" w:color="005BA5"/>
            </w:tcBorders>
          </w:tcPr>
          <w:p>
            <w:pPr>
              <w:jc w:val="center"/>
              <w:ind w:right="308"/>
              <w:spacing w:after="0"/>
              <w:rPr>
                <w:sz w:val="20"/>
                <w:szCs w:val="20"/>
                <w:color w:val="auto"/>
              </w:rPr>
            </w:pPr>
            <w:r>
              <w:rPr>
                <w:rFonts w:ascii="Arial" w:cs="Arial" w:eastAsia="Arial" w:hAnsi="Arial"/>
                <w:sz w:val="14"/>
                <w:szCs w:val="14"/>
                <w:color w:val="auto"/>
                <w:w w:val="91"/>
              </w:rPr>
              <w:t>Other investments</w:t>
            </w:r>
          </w:p>
        </w:tc>
        <w:tc>
          <w:tcPr>
            <w:tcW w:w="140" w:type="dxa"/>
            <w:vAlign w:val="bottom"/>
          </w:tcPr>
          <w:p>
            <w:pPr>
              <w:spacing w:after="0"/>
              <w:rPr>
                <w:sz w:val="21"/>
                <w:szCs w:val="21"/>
                <w:color w:val="auto"/>
              </w:rPr>
            </w:pPr>
          </w:p>
        </w:tc>
        <w:tc>
          <w:tcPr>
            <w:tcW w:w="140" w:type="dxa"/>
            <w:vAlign w:val="bottom"/>
            <w:tcBorders>
              <w:bottom w:val="single" w:sz="8" w:color="005BA5"/>
            </w:tcBorders>
          </w:tcPr>
          <w:p>
            <w:pPr>
              <w:spacing w:after="0"/>
              <w:rPr>
                <w:sz w:val="21"/>
                <w:szCs w:val="21"/>
                <w:color w:val="auto"/>
              </w:rPr>
            </w:pPr>
          </w:p>
        </w:tc>
        <w:tc>
          <w:tcPr>
            <w:tcW w:w="7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940" w:type="dxa"/>
            <w:vAlign w:val="bottom"/>
            <w:tcBorders>
              <w:bottom w:val="single" w:sz="8" w:color="005BA5"/>
            </w:tcBorders>
          </w:tcPr>
          <w:p>
            <w:pPr>
              <w:ind w:left="6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140" w:type="dxa"/>
            <w:vAlign w:val="bottom"/>
            <w:tcBorders>
              <w:bottom w:val="single" w:sz="8" w:color="005BA5"/>
            </w:tcBorders>
          </w:tcPr>
          <w:p>
            <w:pPr>
              <w:spacing w:after="0"/>
              <w:rPr>
                <w:sz w:val="21"/>
                <w:szCs w:val="21"/>
                <w:color w:val="auto"/>
              </w:rPr>
            </w:pPr>
          </w:p>
        </w:tc>
        <w:tc>
          <w:tcPr>
            <w:tcW w:w="52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 w:type="dxa"/>
            <w:vAlign w:val="bottom"/>
            <w:tcBorders>
              <w:bottom w:val="single" w:sz="8" w:color="005BA5"/>
            </w:tcBorders>
          </w:tcPr>
          <w:p>
            <w:pPr>
              <w:spacing w:after="0"/>
              <w:rPr>
                <w:sz w:val="21"/>
                <w:szCs w:val="21"/>
                <w:color w:val="auto"/>
              </w:rPr>
            </w:pPr>
          </w:p>
        </w:tc>
        <w:tc>
          <w:tcPr>
            <w:tcW w:w="52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Total asset derivatives</w:t>
            </w:r>
          </w:p>
        </w:tc>
        <w:tc>
          <w:tcPr>
            <w:tcW w:w="2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452</w:t>
            </w:r>
          </w:p>
        </w:tc>
        <w:tc>
          <w:tcPr>
            <w:tcW w:w="12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9,680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104</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109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62"/>
        </w:trPr>
        <w:tc>
          <w:tcPr>
            <w:tcW w:w="4280" w:type="dxa"/>
            <w:vAlign w:val="bottom"/>
            <w:tcBorders>
              <w:top w:val="single" w:sz="8" w:color="005BA5"/>
              <w:bottom w:val="single" w:sz="8" w:color="ACACAC"/>
            </w:tcBorders>
          </w:tcPr>
          <w:p>
            <w:pPr>
              <w:spacing w:after="0"/>
              <w:rPr>
                <w:sz w:val="14"/>
                <w:szCs w:val="14"/>
                <w:color w:val="auto"/>
              </w:rPr>
            </w:pPr>
          </w:p>
        </w:tc>
        <w:tc>
          <w:tcPr>
            <w:tcW w:w="2580" w:type="dxa"/>
            <w:vAlign w:val="bottom"/>
            <w:tcBorders>
              <w:top w:val="single" w:sz="8" w:color="005BA5"/>
              <w:bottom w:val="single" w:sz="8" w:color="ACACAC"/>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005BA5"/>
              <w:bottom w:val="single" w:sz="8" w:color="ACACAC"/>
            </w:tcBorders>
          </w:tcPr>
          <w:p>
            <w:pPr>
              <w:spacing w:after="0"/>
              <w:rPr>
                <w:sz w:val="14"/>
                <w:szCs w:val="14"/>
                <w:color w:val="auto"/>
              </w:rPr>
            </w:pPr>
          </w:p>
        </w:tc>
        <w:tc>
          <w:tcPr>
            <w:tcW w:w="780" w:type="dxa"/>
            <w:vAlign w:val="bottom"/>
            <w:tcBorders>
              <w:top w:val="single" w:sz="8" w:color="005BA5"/>
              <w:bottom w:val="single" w:sz="8" w:color="ACACAC"/>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005BA5"/>
              <w:bottom w:val="single" w:sz="8" w:color="ACACAC"/>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005BA5"/>
              <w:bottom w:val="single" w:sz="8" w:color="ACACAC"/>
            </w:tcBorders>
          </w:tcPr>
          <w:p>
            <w:pPr>
              <w:spacing w:after="0"/>
              <w:rPr>
                <w:sz w:val="14"/>
                <w:szCs w:val="14"/>
                <w:color w:val="auto"/>
              </w:rPr>
            </w:pPr>
          </w:p>
        </w:tc>
        <w:tc>
          <w:tcPr>
            <w:tcW w:w="520" w:type="dxa"/>
            <w:vAlign w:val="bottom"/>
            <w:tcBorders>
              <w:top w:val="single" w:sz="8" w:color="005BA5"/>
              <w:bottom w:val="single" w:sz="8" w:color="ACACAC"/>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005BA5"/>
              <w:bottom w:val="single" w:sz="8" w:color="ACACAC"/>
            </w:tcBorders>
          </w:tcPr>
          <w:p>
            <w:pPr>
              <w:spacing w:after="0"/>
              <w:rPr>
                <w:sz w:val="14"/>
                <w:szCs w:val="14"/>
                <w:color w:val="auto"/>
              </w:rPr>
            </w:pPr>
          </w:p>
        </w:tc>
        <w:tc>
          <w:tcPr>
            <w:tcW w:w="520" w:type="dxa"/>
            <w:vAlign w:val="bottom"/>
            <w:tcBorders>
              <w:top w:val="single" w:sz="8" w:color="005BA5"/>
              <w:bottom w:val="single" w:sz="8" w:color="ACACAC"/>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005BA5"/>
              <w:bottom w:val="single" w:sz="8" w:color="ACACAC"/>
            </w:tcBorders>
          </w:tcPr>
          <w:p>
            <w:pPr>
              <w:spacing w:after="0"/>
              <w:rPr>
                <w:sz w:val="14"/>
                <w:szCs w:val="14"/>
                <w:color w:val="auto"/>
              </w:rPr>
            </w:pPr>
          </w:p>
        </w:tc>
        <w:tc>
          <w:tcPr>
            <w:tcW w:w="660" w:type="dxa"/>
            <w:vAlign w:val="bottom"/>
            <w:tcBorders>
              <w:top w:val="single" w:sz="8" w:color="005BA5"/>
              <w:bottom w:val="single" w:sz="8" w:color="ACACAC"/>
            </w:tcBorders>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ACACAC"/>
            </w:tcBorders>
          </w:tcPr>
          <w:p>
            <w:pPr>
              <w:ind w:left="40"/>
              <w:spacing w:after="0"/>
              <w:rPr>
                <w:sz w:val="20"/>
                <w:szCs w:val="20"/>
                <w:color w:val="auto"/>
              </w:rPr>
            </w:pPr>
            <w:r>
              <w:rPr>
                <w:rFonts w:ascii="Arial" w:cs="Arial" w:eastAsia="Arial" w:hAnsi="Arial"/>
                <w:sz w:val="14"/>
                <w:szCs w:val="14"/>
                <w:b w:val="1"/>
                <w:bCs w:val="1"/>
                <w:color w:val="auto"/>
              </w:rPr>
              <w:t>Liability derivatives</w:t>
            </w:r>
          </w:p>
        </w:tc>
        <w:tc>
          <w:tcPr>
            <w:tcW w:w="2580" w:type="dxa"/>
            <w:vAlign w:val="bottom"/>
            <w:tcBorders>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40"/>
              <w:spacing w:after="0"/>
              <w:rPr>
                <w:sz w:val="20"/>
                <w:szCs w:val="20"/>
                <w:color w:val="auto"/>
              </w:rPr>
            </w:pPr>
            <w:r>
              <w:rPr>
                <w:rFonts w:ascii="Arial" w:cs="Arial" w:eastAsia="Arial" w:hAnsi="Arial"/>
                <w:sz w:val="14"/>
                <w:szCs w:val="14"/>
                <w:b w:val="1"/>
                <w:bCs w:val="1"/>
                <w:color w:val="auto"/>
              </w:rPr>
              <w:t>Derivatives not designated as accounting hedging instruments</w:t>
            </w:r>
          </w:p>
        </w:tc>
        <w:tc>
          <w:tcPr>
            <w:tcW w:w="2580" w:type="dxa"/>
            <w:vAlign w:val="bottom"/>
            <w:tcBorders>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Interest rate contracts</w:t>
            </w:r>
          </w:p>
        </w:tc>
        <w:tc>
          <w:tcPr>
            <w:tcW w:w="2580" w:type="dxa"/>
            <w:vAlign w:val="bottom"/>
            <w:tcBorders>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Interest rate swaption agreements</w:t>
            </w:r>
          </w:p>
        </w:tc>
        <w:tc>
          <w:tcPr>
            <w:tcW w:w="2580" w:type="dxa"/>
            <w:vAlign w:val="bottom"/>
            <w:tcBorders>
              <w:bottom w:val="single" w:sz="8" w:color="ACACAC"/>
            </w:tcBorders>
          </w:tcPr>
          <w:p>
            <w:pPr>
              <w:jc w:val="center"/>
              <w:ind w:right="308"/>
              <w:spacing w:after="0"/>
              <w:rPr>
                <w:sz w:val="20"/>
                <w:szCs w:val="20"/>
                <w:color w:val="auto"/>
              </w:rPr>
            </w:pPr>
            <w:r>
              <w:rPr>
                <w:rFonts w:ascii="Arial" w:cs="Arial" w:eastAsia="Arial" w:hAnsi="Arial"/>
                <w:sz w:val="14"/>
                <w:szCs w:val="14"/>
                <w:color w:val="auto"/>
                <w:w w:val="93"/>
              </w:rPr>
              <w:t>Other liabilities &amp; accrued expenses</w:t>
            </w:r>
          </w:p>
        </w:tc>
        <w:tc>
          <w:tcPr>
            <w:tcW w:w="140" w:type="dxa"/>
            <w:vAlign w:val="bottom"/>
          </w:tcPr>
          <w:p>
            <w:pPr>
              <w:spacing w:after="0"/>
              <w:rPr>
                <w:sz w:val="21"/>
                <w:szCs w:val="21"/>
                <w:color w:val="auto"/>
              </w:rPr>
            </w:pPr>
          </w:p>
        </w:tc>
        <w:tc>
          <w:tcPr>
            <w:tcW w:w="14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940" w:type="dxa"/>
            <w:vAlign w:val="bottom"/>
            <w:tcBorders>
              <w:bottom w:val="single" w:sz="8" w:color="ACACAC"/>
            </w:tcBorders>
          </w:tcPr>
          <w:p>
            <w:pPr>
              <w:ind w:left="6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140" w:type="dxa"/>
            <w:vAlign w:val="bottom"/>
            <w:tcBorders>
              <w:bottom w:val="single" w:sz="8" w:color="ACACAC"/>
            </w:tcBorders>
          </w:tcPr>
          <w:p>
            <w:pPr>
              <w:ind w:left="20"/>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Interest rate cap agreements</w:t>
            </w:r>
          </w:p>
        </w:tc>
        <w:tc>
          <w:tcPr>
            <w:tcW w:w="2580" w:type="dxa"/>
            <w:vAlign w:val="bottom"/>
            <w:tcBorders>
              <w:bottom w:val="single" w:sz="8" w:color="ACACAC"/>
            </w:tcBorders>
          </w:tcPr>
          <w:p>
            <w:pPr>
              <w:jc w:val="center"/>
              <w:ind w:right="308"/>
              <w:spacing w:after="0"/>
              <w:rPr>
                <w:sz w:val="20"/>
                <w:szCs w:val="20"/>
                <w:color w:val="auto"/>
              </w:rPr>
            </w:pPr>
            <w:r>
              <w:rPr>
                <w:rFonts w:ascii="Arial" w:cs="Arial" w:eastAsia="Arial" w:hAnsi="Arial"/>
                <w:sz w:val="14"/>
                <w:szCs w:val="14"/>
                <w:color w:val="auto"/>
                <w:w w:val="93"/>
              </w:rPr>
              <w:t>Other liabilities &amp; accrued expenses</w:t>
            </w: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1"/>
                <w:szCs w:val="21"/>
                <w:color w:val="auto"/>
              </w:rPr>
            </w:pPr>
          </w:p>
        </w:tc>
        <w:tc>
          <w:tcPr>
            <w:tcW w:w="940" w:type="dxa"/>
            <w:vAlign w:val="bottom"/>
            <w:tcBorders>
              <w:bottom w:val="single" w:sz="8" w:color="ACACAC"/>
            </w:tcBorders>
          </w:tcPr>
          <w:p>
            <w:pPr>
              <w:ind w:left="6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80" w:type="dxa"/>
            <w:vAlign w:val="bottom"/>
          </w:tcPr>
          <w:p>
            <w:pPr>
              <w:ind w:left="280"/>
              <w:spacing w:after="0"/>
              <w:rPr>
                <w:sz w:val="20"/>
                <w:szCs w:val="20"/>
                <w:color w:val="auto"/>
              </w:rPr>
            </w:pPr>
            <w:r>
              <w:rPr>
                <w:rFonts w:ascii="Arial" w:cs="Arial" w:eastAsia="Arial" w:hAnsi="Arial"/>
                <w:sz w:val="14"/>
                <w:szCs w:val="14"/>
                <w:color w:val="auto"/>
              </w:rPr>
              <w:t>Futures</w:t>
            </w:r>
          </w:p>
        </w:tc>
        <w:tc>
          <w:tcPr>
            <w:tcW w:w="2720" w:type="dxa"/>
            <w:vAlign w:val="bottom"/>
            <w:gridSpan w:val="2"/>
          </w:tcPr>
          <w:p>
            <w:pPr>
              <w:jc w:val="center"/>
              <w:ind w:right="520"/>
              <w:spacing w:after="0"/>
              <w:rPr>
                <w:sz w:val="20"/>
                <w:szCs w:val="20"/>
                <w:color w:val="auto"/>
              </w:rPr>
            </w:pPr>
            <w:r>
              <w:rPr>
                <w:rFonts w:ascii="Arial" w:cs="Arial" w:eastAsia="Arial" w:hAnsi="Arial"/>
                <w:sz w:val="14"/>
                <w:szCs w:val="14"/>
                <w:color w:val="auto"/>
                <w:w w:val="93"/>
              </w:rPr>
              <w:t>Other liabilities &amp; accrued expenses</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2,510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428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Equity and index contracts</w:t>
            </w:r>
          </w:p>
        </w:tc>
        <w:tc>
          <w:tcPr>
            <w:tcW w:w="2580" w:type="dxa"/>
            <w:vAlign w:val="bottom"/>
            <w:tcBorders>
              <w:top w:val="single" w:sz="8" w:color="ACACAC"/>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Options</w:t>
            </w:r>
          </w:p>
        </w:tc>
        <w:tc>
          <w:tcPr>
            <w:tcW w:w="2580" w:type="dxa"/>
            <w:vAlign w:val="bottom"/>
            <w:tcBorders>
              <w:bottom w:val="single" w:sz="8" w:color="ACACAC"/>
            </w:tcBorders>
          </w:tcPr>
          <w:p>
            <w:pPr>
              <w:jc w:val="center"/>
              <w:ind w:right="308"/>
              <w:spacing w:after="0"/>
              <w:rPr>
                <w:sz w:val="20"/>
                <w:szCs w:val="20"/>
                <w:color w:val="auto"/>
              </w:rPr>
            </w:pPr>
            <w:r>
              <w:rPr>
                <w:rFonts w:ascii="Arial" w:cs="Arial" w:eastAsia="Arial" w:hAnsi="Arial"/>
                <w:sz w:val="14"/>
                <w:szCs w:val="14"/>
                <w:color w:val="auto"/>
                <w:w w:val="93"/>
              </w:rPr>
              <w:t>Other liabilities &amp; accrued expenses</w:t>
            </w: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5,090</w:t>
            </w: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0"/>
        </w:trPr>
        <w:tc>
          <w:tcPr>
            <w:tcW w:w="4280" w:type="dxa"/>
            <w:vAlign w:val="bottom"/>
          </w:tcPr>
          <w:p>
            <w:pPr>
              <w:ind w:left="280"/>
              <w:spacing w:after="0"/>
              <w:rPr>
                <w:sz w:val="20"/>
                <w:szCs w:val="20"/>
                <w:color w:val="auto"/>
              </w:rPr>
            </w:pPr>
            <w:r>
              <w:rPr>
                <w:rFonts w:ascii="Arial" w:cs="Arial" w:eastAsia="Arial" w:hAnsi="Arial"/>
                <w:sz w:val="14"/>
                <w:szCs w:val="14"/>
                <w:color w:val="auto"/>
              </w:rPr>
              <w:t>Futures</w:t>
            </w:r>
          </w:p>
        </w:tc>
        <w:tc>
          <w:tcPr>
            <w:tcW w:w="2720" w:type="dxa"/>
            <w:vAlign w:val="bottom"/>
            <w:gridSpan w:val="2"/>
          </w:tcPr>
          <w:p>
            <w:pPr>
              <w:jc w:val="center"/>
              <w:ind w:right="520"/>
              <w:spacing w:after="0"/>
              <w:rPr>
                <w:sz w:val="20"/>
                <w:szCs w:val="20"/>
                <w:color w:val="auto"/>
              </w:rPr>
            </w:pPr>
            <w:r>
              <w:rPr>
                <w:rFonts w:ascii="Arial" w:cs="Arial" w:eastAsia="Arial" w:hAnsi="Arial"/>
                <w:sz w:val="14"/>
                <w:szCs w:val="14"/>
                <w:color w:val="auto"/>
                <w:w w:val="93"/>
              </w:rPr>
              <w:t>Other liabilities &amp; accrued expenses</w:t>
            </w:r>
          </w:p>
        </w:tc>
        <w:tc>
          <w:tcPr>
            <w:tcW w:w="14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28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Total return index contracts</w:t>
            </w:r>
          </w:p>
        </w:tc>
        <w:tc>
          <w:tcPr>
            <w:tcW w:w="2580" w:type="dxa"/>
            <w:vAlign w:val="bottom"/>
            <w:tcBorders>
              <w:top w:val="single" w:sz="8" w:color="ACACAC"/>
              <w:bottom w:val="single" w:sz="8" w:color="ACACAC"/>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CACAC"/>
              <w:bottom w:val="single" w:sz="8" w:color="ACACAC"/>
            </w:tcBorders>
          </w:tcPr>
          <w:p>
            <w:pPr>
              <w:spacing w:after="0"/>
              <w:rPr>
                <w:sz w:val="22"/>
                <w:szCs w:val="22"/>
                <w:color w:val="auto"/>
              </w:rPr>
            </w:pPr>
          </w:p>
        </w:tc>
        <w:tc>
          <w:tcPr>
            <w:tcW w:w="78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CACAC"/>
              <w:bottom w:val="single" w:sz="8" w:color="ACACAC"/>
            </w:tcBorders>
          </w:tcPr>
          <w:p>
            <w:pPr>
              <w:spacing w:after="0"/>
              <w:rPr>
                <w:sz w:val="22"/>
                <w:szCs w:val="22"/>
                <w:color w:val="auto"/>
              </w:rPr>
            </w:pPr>
          </w:p>
        </w:tc>
        <w:tc>
          <w:tcPr>
            <w:tcW w:w="52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CACAC"/>
              <w:bottom w:val="single" w:sz="8" w:color="ACACAC"/>
            </w:tcBorders>
          </w:tcPr>
          <w:p>
            <w:pPr>
              <w:spacing w:after="0"/>
              <w:rPr>
                <w:sz w:val="22"/>
                <w:szCs w:val="22"/>
                <w:color w:val="auto"/>
              </w:rPr>
            </w:pPr>
          </w:p>
        </w:tc>
        <w:tc>
          <w:tcPr>
            <w:tcW w:w="52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CACAC"/>
              <w:bottom w:val="single" w:sz="8" w:color="ACACAC"/>
            </w:tcBorders>
          </w:tcPr>
          <w:p>
            <w:pPr>
              <w:spacing w:after="0"/>
              <w:rPr>
                <w:sz w:val="22"/>
                <w:szCs w:val="22"/>
                <w:color w:val="auto"/>
              </w:rPr>
            </w:pPr>
          </w:p>
        </w:tc>
        <w:tc>
          <w:tcPr>
            <w:tcW w:w="660" w:type="dxa"/>
            <w:vAlign w:val="bottom"/>
            <w:tcBorders>
              <w:top w:val="single" w:sz="8" w:color="ACACAC"/>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280" w:type="dxa"/>
            <w:vAlign w:val="bottom"/>
          </w:tcPr>
          <w:p>
            <w:pPr>
              <w:ind w:left="280"/>
              <w:spacing w:after="0"/>
              <w:rPr>
                <w:sz w:val="20"/>
                <w:szCs w:val="20"/>
                <w:color w:val="auto"/>
              </w:rPr>
            </w:pPr>
            <w:r>
              <w:rPr>
                <w:rFonts w:ascii="Arial" w:cs="Arial" w:eastAsia="Arial" w:hAnsi="Arial"/>
                <w:sz w:val="14"/>
                <w:szCs w:val="14"/>
                <w:color w:val="auto"/>
              </w:rPr>
              <w:t>Total return swap agreements – fixed income</w:t>
            </w:r>
          </w:p>
        </w:tc>
        <w:tc>
          <w:tcPr>
            <w:tcW w:w="2720" w:type="dxa"/>
            <w:vAlign w:val="bottom"/>
            <w:gridSpan w:val="2"/>
          </w:tcPr>
          <w:p>
            <w:pPr>
              <w:jc w:val="center"/>
              <w:ind w:right="520"/>
              <w:spacing w:after="0"/>
              <w:rPr>
                <w:sz w:val="20"/>
                <w:szCs w:val="20"/>
                <w:color w:val="auto"/>
              </w:rPr>
            </w:pPr>
            <w:r>
              <w:rPr>
                <w:rFonts w:ascii="Arial" w:cs="Arial" w:eastAsia="Arial" w:hAnsi="Arial"/>
                <w:sz w:val="14"/>
                <w:szCs w:val="14"/>
                <w:color w:val="auto"/>
                <w:w w:val="93"/>
              </w:rPr>
              <w:t>Other liabilities &amp; accrued expenses</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1"/>
                <w:szCs w:val="21"/>
                <w:color w:val="auto"/>
              </w:rPr>
            </w:pPr>
          </w:p>
        </w:tc>
        <w:tc>
          <w:tcPr>
            <w:tcW w:w="106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8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Foreign currency contracts</w:t>
            </w:r>
          </w:p>
        </w:tc>
        <w:tc>
          <w:tcPr>
            <w:tcW w:w="2580" w:type="dxa"/>
            <w:vAlign w:val="bottom"/>
            <w:tcBorders>
              <w:top w:val="single" w:sz="8" w:color="ACACAC"/>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Pr>
          <w:p>
            <w:pPr>
              <w:ind w:left="280"/>
              <w:spacing w:after="0"/>
              <w:rPr>
                <w:sz w:val="20"/>
                <w:szCs w:val="20"/>
                <w:color w:val="auto"/>
              </w:rPr>
            </w:pPr>
            <w:r>
              <w:rPr>
                <w:rFonts w:ascii="Arial" w:cs="Arial" w:eastAsia="Arial" w:hAnsi="Arial"/>
                <w:sz w:val="14"/>
                <w:szCs w:val="14"/>
                <w:color w:val="auto"/>
              </w:rPr>
              <w:t>Foreign currency forwards</w:t>
            </w:r>
          </w:p>
        </w:tc>
        <w:tc>
          <w:tcPr>
            <w:tcW w:w="2720" w:type="dxa"/>
            <w:vAlign w:val="bottom"/>
            <w:gridSpan w:val="2"/>
          </w:tcPr>
          <w:p>
            <w:pPr>
              <w:jc w:val="center"/>
              <w:ind w:right="520"/>
              <w:spacing w:after="0"/>
              <w:rPr>
                <w:sz w:val="20"/>
                <w:szCs w:val="20"/>
                <w:color w:val="auto"/>
              </w:rPr>
            </w:pPr>
            <w:r>
              <w:rPr>
                <w:rFonts w:ascii="Arial" w:cs="Arial" w:eastAsia="Arial" w:hAnsi="Arial"/>
                <w:sz w:val="14"/>
                <w:szCs w:val="14"/>
                <w:color w:val="auto"/>
                <w:w w:val="93"/>
              </w:rPr>
              <w:t>Other liabilities &amp; accrued expenses</w:t>
            </w: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1"/>
                <w:szCs w:val="21"/>
                <w:color w:val="auto"/>
              </w:rPr>
            </w:pPr>
          </w:p>
        </w:tc>
        <w:tc>
          <w:tcPr>
            <w:tcW w:w="1060" w:type="dxa"/>
            <w:vAlign w:val="bottom"/>
            <w:gridSpan w:val="2"/>
          </w:tcPr>
          <w:p>
            <w:pPr>
              <w:ind w:left="64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428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Embedded derivative financial instruments</w:t>
            </w:r>
          </w:p>
        </w:tc>
        <w:tc>
          <w:tcPr>
            <w:tcW w:w="2580" w:type="dxa"/>
            <w:vAlign w:val="bottom"/>
            <w:tcBorders>
              <w:top w:val="single" w:sz="8" w:color="ACACAC"/>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Guaranteed accumulation benefits</w:t>
            </w:r>
          </w:p>
        </w:tc>
        <w:tc>
          <w:tcPr>
            <w:tcW w:w="2580" w:type="dxa"/>
            <w:vAlign w:val="bottom"/>
            <w:tcBorders>
              <w:bottom w:val="single" w:sz="8" w:color="ACACAC"/>
            </w:tcBorders>
          </w:tcPr>
          <w:p>
            <w:pPr>
              <w:jc w:val="center"/>
              <w:ind w:right="288"/>
              <w:spacing w:after="0"/>
              <w:rPr>
                <w:sz w:val="20"/>
                <w:szCs w:val="20"/>
                <w:color w:val="auto"/>
              </w:rPr>
            </w:pPr>
            <w:r>
              <w:rPr>
                <w:rFonts w:ascii="Arial" w:cs="Arial" w:eastAsia="Arial" w:hAnsi="Arial"/>
                <w:sz w:val="14"/>
                <w:szCs w:val="14"/>
                <w:color w:val="auto"/>
                <w:w w:val="93"/>
              </w:rPr>
              <w:t>Contractholder funds</w:t>
            </w: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1"/>
                <w:szCs w:val="21"/>
                <w:color w:val="auto"/>
              </w:rPr>
            </w:pPr>
          </w:p>
        </w:tc>
        <w:tc>
          <w:tcPr>
            <w:tcW w:w="940" w:type="dxa"/>
            <w:vAlign w:val="bottom"/>
            <w:tcBorders>
              <w:bottom w:val="single" w:sz="8" w:color="ACACAC"/>
            </w:tcBorders>
          </w:tcPr>
          <w:p>
            <w:pPr>
              <w:ind w:left="6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Guaranteed withdrawal benefits</w:t>
            </w:r>
          </w:p>
        </w:tc>
        <w:tc>
          <w:tcPr>
            <w:tcW w:w="2580" w:type="dxa"/>
            <w:vAlign w:val="bottom"/>
            <w:tcBorders>
              <w:bottom w:val="single" w:sz="8" w:color="ACACAC"/>
            </w:tcBorders>
          </w:tcPr>
          <w:p>
            <w:pPr>
              <w:jc w:val="center"/>
              <w:ind w:right="288"/>
              <w:spacing w:after="0"/>
              <w:rPr>
                <w:sz w:val="20"/>
                <w:szCs w:val="20"/>
                <w:color w:val="auto"/>
              </w:rPr>
            </w:pPr>
            <w:r>
              <w:rPr>
                <w:rFonts w:ascii="Arial" w:cs="Arial" w:eastAsia="Arial" w:hAnsi="Arial"/>
                <w:sz w:val="14"/>
                <w:szCs w:val="14"/>
                <w:color w:val="auto"/>
                <w:w w:val="93"/>
              </w:rPr>
              <w:t>Contractholder funds</w:t>
            </w: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1"/>
                <w:szCs w:val="21"/>
                <w:color w:val="auto"/>
              </w:rPr>
            </w:pPr>
          </w:p>
        </w:tc>
        <w:tc>
          <w:tcPr>
            <w:tcW w:w="940" w:type="dxa"/>
            <w:vAlign w:val="bottom"/>
            <w:tcBorders>
              <w:bottom w:val="single" w:sz="8" w:color="ACACAC"/>
            </w:tcBorders>
          </w:tcPr>
          <w:p>
            <w:pPr>
              <w:ind w:left="6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56"/>
        </w:trPr>
        <w:tc>
          <w:tcPr>
            <w:tcW w:w="4280" w:type="dxa"/>
            <w:vAlign w:val="bottom"/>
          </w:tcPr>
          <w:p>
            <w:pPr>
              <w:ind w:left="280"/>
              <w:spacing w:after="0" w:line="157" w:lineRule="exact"/>
              <w:rPr>
                <w:sz w:val="20"/>
                <w:szCs w:val="20"/>
                <w:color w:val="auto"/>
              </w:rPr>
            </w:pPr>
            <w:r>
              <w:rPr>
                <w:rFonts w:ascii="Arial" w:cs="Arial" w:eastAsia="Arial" w:hAnsi="Arial"/>
                <w:sz w:val="14"/>
                <w:szCs w:val="14"/>
                <w:color w:val="auto"/>
              </w:rPr>
              <w:t>Equity-indexed and forward starting options in life and</w:t>
            </w:r>
          </w:p>
        </w:tc>
        <w:tc>
          <w:tcPr>
            <w:tcW w:w="2720" w:type="dxa"/>
            <w:vAlign w:val="bottom"/>
            <w:gridSpan w:val="2"/>
            <w:vMerge w:val="restart"/>
          </w:tcPr>
          <w:p>
            <w:pPr>
              <w:jc w:val="center"/>
              <w:ind w:right="500"/>
              <w:spacing w:after="0"/>
              <w:rPr>
                <w:sz w:val="20"/>
                <w:szCs w:val="20"/>
                <w:color w:val="auto"/>
              </w:rPr>
            </w:pPr>
            <w:r>
              <w:rPr>
                <w:rFonts w:ascii="Arial" w:cs="Arial" w:eastAsia="Arial" w:hAnsi="Arial"/>
                <w:sz w:val="14"/>
                <w:szCs w:val="14"/>
                <w:color w:val="auto"/>
                <w:w w:val="93"/>
              </w:rPr>
              <w:t>Contractholder funds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4280" w:type="dxa"/>
            <w:vAlign w:val="bottom"/>
            <w:vMerge w:val="restart"/>
          </w:tcPr>
          <w:p>
            <w:pPr>
              <w:ind w:left="280"/>
              <w:spacing w:after="0"/>
              <w:rPr>
                <w:sz w:val="20"/>
                <w:szCs w:val="20"/>
                <w:color w:val="auto"/>
              </w:rPr>
            </w:pPr>
            <w:r>
              <w:rPr>
                <w:rFonts w:ascii="Arial" w:cs="Arial" w:eastAsia="Arial" w:hAnsi="Arial"/>
                <w:sz w:val="14"/>
                <w:szCs w:val="14"/>
                <w:color w:val="auto"/>
              </w:rPr>
              <w:t>annuity product contracts</w:t>
            </w:r>
          </w:p>
        </w:tc>
        <w:tc>
          <w:tcPr>
            <w:tcW w:w="27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1,778</w:t>
            </w:r>
          </w:p>
        </w:tc>
        <w:tc>
          <w:tcPr>
            <w:tcW w:w="120" w:type="dxa"/>
            <w:vAlign w:val="bottom"/>
          </w:tcPr>
          <w:p>
            <w:pPr>
              <w:spacing w:after="0"/>
              <w:rPr>
                <w:sz w:val="8"/>
                <w:szCs w:val="8"/>
                <w:color w:val="auto"/>
              </w:rPr>
            </w:pPr>
          </w:p>
        </w:tc>
        <w:tc>
          <w:tcPr>
            <w:tcW w:w="1060" w:type="dxa"/>
            <w:vAlign w:val="bottom"/>
            <w:gridSpan w:val="2"/>
            <w:vMerge w:val="restart"/>
          </w:tcPr>
          <w:p>
            <w:pPr>
              <w:ind w:left="64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87"/>
        </w:trPr>
        <w:tc>
          <w:tcPr>
            <w:tcW w:w="4280" w:type="dxa"/>
            <w:vAlign w:val="bottom"/>
            <w:vMerge w:val="continue"/>
          </w:tcPr>
          <w:p>
            <w:pPr>
              <w:spacing w:after="0"/>
              <w:rPr>
                <w:sz w:val="7"/>
                <w:szCs w:val="7"/>
                <w:color w:val="auto"/>
              </w:rPr>
            </w:pPr>
          </w:p>
        </w:tc>
        <w:tc>
          <w:tcPr>
            <w:tcW w:w="2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28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Credit default contracts</w:t>
            </w:r>
          </w:p>
        </w:tc>
        <w:tc>
          <w:tcPr>
            <w:tcW w:w="2580" w:type="dxa"/>
            <w:vAlign w:val="bottom"/>
            <w:tcBorders>
              <w:top w:val="single" w:sz="8" w:color="ACACAC"/>
              <w:bottom w:val="single" w:sz="8" w:color="ACACAC"/>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CACAC"/>
              <w:bottom w:val="single" w:sz="8" w:color="ACACAC"/>
            </w:tcBorders>
          </w:tcPr>
          <w:p>
            <w:pPr>
              <w:spacing w:after="0"/>
              <w:rPr>
                <w:sz w:val="21"/>
                <w:szCs w:val="21"/>
                <w:color w:val="auto"/>
              </w:rPr>
            </w:pPr>
          </w:p>
        </w:tc>
        <w:tc>
          <w:tcPr>
            <w:tcW w:w="5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8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Credit default swaps – buying protection</w:t>
            </w:r>
          </w:p>
        </w:tc>
        <w:tc>
          <w:tcPr>
            <w:tcW w:w="2580" w:type="dxa"/>
            <w:vAlign w:val="bottom"/>
            <w:tcBorders>
              <w:bottom w:val="single" w:sz="8" w:color="ACACAC"/>
            </w:tcBorders>
          </w:tcPr>
          <w:p>
            <w:pPr>
              <w:jc w:val="center"/>
              <w:ind w:right="308"/>
              <w:spacing w:after="0"/>
              <w:rPr>
                <w:sz w:val="20"/>
                <w:szCs w:val="20"/>
                <w:color w:val="auto"/>
              </w:rPr>
            </w:pPr>
            <w:r>
              <w:rPr>
                <w:rFonts w:ascii="Arial" w:cs="Arial" w:eastAsia="Arial" w:hAnsi="Arial"/>
                <w:sz w:val="14"/>
                <w:szCs w:val="14"/>
                <w:color w:val="auto"/>
                <w:w w:val="93"/>
              </w:rPr>
              <w:t>Other liabilities &amp; accrued expenses</w:t>
            </w:r>
          </w:p>
        </w:tc>
        <w:tc>
          <w:tcPr>
            <w:tcW w:w="14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1"/>
                <w:szCs w:val="21"/>
                <w:color w:val="auto"/>
              </w:rPr>
            </w:pPr>
          </w:p>
        </w:tc>
        <w:tc>
          <w:tcPr>
            <w:tcW w:w="940" w:type="dxa"/>
            <w:vAlign w:val="bottom"/>
            <w:tcBorders>
              <w:bottom w:val="single" w:sz="8" w:color="ACACAC"/>
            </w:tcBorders>
          </w:tcPr>
          <w:p>
            <w:pPr>
              <w:ind w:left="6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52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005BA5"/>
            </w:tcBorders>
          </w:tcPr>
          <w:p>
            <w:pPr>
              <w:ind w:left="280"/>
              <w:spacing w:after="0"/>
              <w:rPr>
                <w:sz w:val="20"/>
                <w:szCs w:val="20"/>
                <w:color w:val="auto"/>
              </w:rPr>
            </w:pPr>
            <w:r>
              <w:rPr>
                <w:rFonts w:ascii="Arial" w:cs="Arial" w:eastAsia="Arial" w:hAnsi="Arial"/>
                <w:sz w:val="14"/>
                <w:szCs w:val="14"/>
                <w:color w:val="auto"/>
              </w:rPr>
              <w:t>Credit default swaps – selling protection</w:t>
            </w:r>
          </w:p>
        </w:tc>
        <w:tc>
          <w:tcPr>
            <w:tcW w:w="2580" w:type="dxa"/>
            <w:vAlign w:val="bottom"/>
            <w:tcBorders>
              <w:bottom w:val="single" w:sz="8" w:color="005BA5"/>
            </w:tcBorders>
          </w:tcPr>
          <w:p>
            <w:pPr>
              <w:jc w:val="center"/>
              <w:ind w:right="308"/>
              <w:spacing w:after="0"/>
              <w:rPr>
                <w:sz w:val="20"/>
                <w:szCs w:val="20"/>
                <w:color w:val="auto"/>
              </w:rPr>
            </w:pPr>
            <w:r>
              <w:rPr>
                <w:rFonts w:ascii="Arial" w:cs="Arial" w:eastAsia="Arial" w:hAnsi="Arial"/>
                <w:sz w:val="14"/>
                <w:szCs w:val="14"/>
                <w:color w:val="auto"/>
                <w:w w:val="93"/>
              </w:rPr>
              <w:t>Other liabilities &amp; accrued expenses</w:t>
            </w:r>
          </w:p>
        </w:tc>
        <w:tc>
          <w:tcPr>
            <w:tcW w:w="140" w:type="dxa"/>
            <w:vAlign w:val="bottom"/>
          </w:tcPr>
          <w:p>
            <w:pPr>
              <w:spacing w:after="0"/>
              <w:rPr>
                <w:sz w:val="21"/>
                <w:szCs w:val="21"/>
                <w:color w:val="auto"/>
              </w:rPr>
            </w:pPr>
          </w:p>
        </w:tc>
        <w:tc>
          <w:tcPr>
            <w:tcW w:w="140" w:type="dxa"/>
            <w:vAlign w:val="bottom"/>
            <w:tcBorders>
              <w:bottom w:val="single" w:sz="8" w:color="005BA5"/>
            </w:tcBorders>
          </w:tcPr>
          <w:p>
            <w:pPr>
              <w:spacing w:after="0"/>
              <w:rPr>
                <w:sz w:val="21"/>
                <w:szCs w:val="21"/>
                <w:color w:val="auto"/>
              </w:rPr>
            </w:pPr>
          </w:p>
        </w:tc>
        <w:tc>
          <w:tcPr>
            <w:tcW w:w="7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940" w:type="dxa"/>
            <w:vAlign w:val="bottom"/>
            <w:tcBorders>
              <w:bottom w:val="single" w:sz="8" w:color="005BA5"/>
            </w:tcBorders>
          </w:tcPr>
          <w:p>
            <w:pPr>
              <w:ind w:left="64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140" w:type="dxa"/>
            <w:vAlign w:val="bottom"/>
            <w:tcBorders>
              <w:bottom w:val="single" w:sz="8" w:color="005BA5"/>
            </w:tcBorders>
          </w:tcPr>
          <w:p>
            <w:pPr>
              <w:spacing w:after="0"/>
              <w:rPr>
                <w:sz w:val="21"/>
                <w:szCs w:val="21"/>
                <w:color w:val="auto"/>
              </w:rPr>
            </w:pPr>
          </w:p>
        </w:tc>
        <w:tc>
          <w:tcPr>
            <w:tcW w:w="52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40" w:type="dxa"/>
            <w:vAlign w:val="bottom"/>
            <w:tcBorders>
              <w:bottom w:val="single" w:sz="8" w:color="005BA5"/>
            </w:tcBorders>
          </w:tcPr>
          <w:p>
            <w:pPr>
              <w:spacing w:after="0"/>
              <w:rPr>
                <w:sz w:val="21"/>
                <w:szCs w:val="21"/>
                <w:color w:val="auto"/>
              </w:rPr>
            </w:pPr>
          </w:p>
        </w:tc>
        <w:tc>
          <w:tcPr>
            <w:tcW w:w="52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80" w:type="dxa"/>
            <w:vAlign w:val="bottom"/>
          </w:tcPr>
          <w:p>
            <w:pPr>
              <w:ind w:left="40"/>
              <w:spacing w:after="0"/>
              <w:rPr>
                <w:sz w:val="20"/>
                <w:szCs w:val="20"/>
                <w:color w:val="auto"/>
              </w:rPr>
            </w:pPr>
            <w:r>
              <w:rPr>
                <w:rFonts w:ascii="Arial" w:cs="Arial" w:eastAsia="Arial" w:hAnsi="Arial"/>
                <w:sz w:val="14"/>
                <w:szCs w:val="14"/>
                <w:b w:val="1"/>
                <w:bCs w:val="1"/>
                <w:color w:val="auto"/>
              </w:rPr>
              <w:t>Total liability derivatives</w:t>
            </w:r>
          </w:p>
        </w:tc>
        <w:tc>
          <w:tcPr>
            <w:tcW w:w="2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3,195</w:t>
            </w:r>
          </w:p>
        </w:tc>
        <w:tc>
          <w:tcPr>
            <w:tcW w:w="12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8,469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(282)</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8"/>
              <w:spacing w:after="0"/>
              <w:rPr>
                <w:sz w:val="20"/>
                <w:szCs w:val="20"/>
                <w:color w:val="auto"/>
              </w:rPr>
            </w:pPr>
            <w:r>
              <w:rPr>
                <w:rFonts w:ascii="Arial" w:cs="Arial" w:eastAsia="Arial" w:hAnsi="Arial"/>
                <w:sz w:val="14"/>
                <w:szCs w:val="14"/>
                <w:b w:val="1"/>
                <w:bCs w:val="1"/>
                <w:color w:val="auto"/>
              </w:rPr>
              <w:t>17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(299)</w:t>
            </w:r>
          </w:p>
        </w:tc>
        <w:tc>
          <w:tcPr>
            <w:tcW w:w="0" w:type="dxa"/>
            <w:vAlign w:val="bottom"/>
          </w:tcPr>
          <w:p>
            <w:pPr>
              <w:spacing w:after="0"/>
              <w:rPr>
                <w:sz w:val="1"/>
                <w:szCs w:val="1"/>
                <w:color w:val="auto"/>
              </w:rPr>
            </w:pPr>
          </w:p>
        </w:tc>
      </w:tr>
      <w:tr>
        <w:trPr>
          <w:trHeight w:val="250"/>
        </w:trPr>
        <w:tc>
          <w:tcPr>
            <w:tcW w:w="4280" w:type="dxa"/>
            <w:vAlign w:val="bottom"/>
            <w:tcBorders>
              <w:top w:val="single" w:sz="8" w:color="005BA5"/>
              <w:bottom w:val="single" w:sz="8" w:color="005BA5"/>
            </w:tcBorders>
          </w:tcPr>
          <w:p>
            <w:pPr>
              <w:ind w:left="40"/>
              <w:spacing w:after="0"/>
              <w:rPr>
                <w:sz w:val="20"/>
                <w:szCs w:val="20"/>
                <w:color w:val="auto"/>
              </w:rPr>
            </w:pPr>
            <w:r>
              <w:rPr>
                <w:rFonts w:ascii="Arial" w:cs="Arial" w:eastAsia="Arial" w:hAnsi="Arial"/>
                <w:sz w:val="14"/>
                <w:szCs w:val="14"/>
                <w:b w:val="1"/>
                <w:bCs w:val="1"/>
                <w:color w:val="auto"/>
              </w:rPr>
              <w:t>Total derivatives</w:t>
            </w:r>
          </w:p>
        </w:tc>
        <w:tc>
          <w:tcPr>
            <w:tcW w:w="2580" w:type="dxa"/>
            <w:vAlign w:val="bottom"/>
            <w:tcBorders>
              <w:top w:val="single" w:sz="8" w:color="005BA5"/>
              <w:bottom w:val="single" w:sz="8" w:color="005BA5"/>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005BA5"/>
              <w:bottom w:val="single" w:sz="8" w:color="005BA5"/>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005BA5"/>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3,647</w:t>
            </w:r>
          </w:p>
        </w:tc>
        <w:tc>
          <w:tcPr>
            <w:tcW w:w="120" w:type="dxa"/>
            <w:vAlign w:val="bottom"/>
          </w:tcPr>
          <w:p>
            <w:pPr>
              <w:spacing w:after="0"/>
              <w:rPr>
                <w:sz w:val="21"/>
                <w:szCs w:val="21"/>
                <w:color w:val="auto"/>
              </w:rPr>
            </w:pPr>
          </w:p>
        </w:tc>
        <w:tc>
          <w:tcPr>
            <w:tcW w:w="940" w:type="dxa"/>
            <w:vAlign w:val="bottom"/>
            <w:tcBorders>
              <w:top w:val="single" w:sz="8" w:color="005BA5"/>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18,149</w:t>
            </w:r>
          </w:p>
        </w:tc>
        <w:tc>
          <w:tcPr>
            <w:tcW w:w="120" w:type="dxa"/>
            <w:vAlign w:val="bottom"/>
          </w:tcPr>
          <w:p>
            <w:pPr>
              <w:spacing w:after="0"/>
              <w:rPr>
                <w:sz w:val="21"/>
                <w:szCs w:val="21"/>
                <w:color w:val="auto"/>
              </w:rPr>
            </w:pPr>
          </w:p>
        </w:tc>
        <w:tc>
          <w:tcPr>
            <w:tcW w:w="140" w:type="dxa"/>
            <w:vAlign w:val="bottom"/>
            <w:tcBorders>
              <w:top w:val="single" w:sz="8" w:color="005BA5"/>
              <w:bottom w:val="single" w:sz="8" w:color="005BA5"/>
            </w:tcBorders>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005BA5"/>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(178)</w:t>
            </w:r>
          </w:p>
        </w:tc>
        <w:tc>
          <w:tcPr>
            <w:tcW w:w="100" w:type="dxa"/>
            <w:vAlign w:val="bottom"/>
          </w:tcPr>
          <w:p>
            <w:pPr>
              <w:spacing w:after="0"/>
              <w:rPr>
                <w:sz w:val="21"/>
                <w:szCs w:val="21"/>
                <w:color w:val="auto"/>
              </w:rPr>
            </w:pPr>
          </w:p>
        </w:tc>
        <w:tc>
          <w:tcPr>
            <w:tcW w:w="140" w:type="dxa"/>
            <w:vAlign w:val="bottom"/>
            <w:tcBorders>
              <w:top w:val="single" w:sz="8" w:color="005BA5"/>
            </w:tcBorders>
          </w:tcPr>
          <w:p>
            <w:pPr>
              <w:spacing w:after="0"/>
              <w:rPr>
                <w:sz w:val="21"/>
                <w:szCs w:val="21"/>
                <w:color w:val="auto"/>
              </w:rPr>
            </w:pPr>
          </w:p>
        </w:tc>
        <w:tc>
          <w:tcPr>
            <w:tcW w:w="520" w:type="dxa"/>
            <w:vAlign w:val="bottom"/>
            <w:tcBorders>
              <w:top w:val="single" w:sz="8" w:color="005BA5"/>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005BA5"/>
            </w:tcBorders>
          </w:tcPr>
          <w:p>
            <w:pPr>
              <w:spacing w:after="0"/>
              <w:rPr>
                <w:sz w:val="21"/>
                <w:szCs w:val="21"/>
                <w:color w:val="auto"/>
              </w:rPr>
            </w:pPr>
          </w:p>
        </w:tc>
        <w:tc>
          <w:tcPr>
            <w:tcW w:w="660" w:type="dxa"/>
            <w:vAlign w:val="bottom"/>
            <w:tcBorders>
              <w:top w:val="single" w:sz="8" w:color="005BA5"/>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40" w:right="40" w:hanging="251"/>
        <w:spacing w:after="0" w:line="183" w:lineRule="auto"/>
        <w:tabs>
          <w:tab w:leader="none" w:pos="340" w:val="left"/>
        </w:tabs>
        <w:numPr>
          <w:ilvl w:val="0"/>
          <w:numId w:val="18"/>
        </w:numPr>
        <w:rPr>
          <w:rFonts w:ascii="Arial" w:cs="Arial" w:eastAsia="Arial" w:hAnsi="Arial"/>
          <w:sz w:val="24"/>
          <w:szCs w:val="24"/>
          <w:color w:val="005BA5"/>
          <w:vertAlign w:val="superscript"/>
        </w:rPr>
      </w:pPr>
      <w:r>
        <w:rPr>
          <w:rFonts w:ascii="Arial" w:cs="Arial" w:eastAsia="Arial" w:hAnsi="Arial"/>
          <w:sz w:val="14"/>
          <w:szCs w:val="14"/>
          <w:color w:val="auto"/>
        </w:rPr>
        <w:t>Volume for OTC and cleared derivative contracts is represented by their notional amounts. Volume for exchange traded derivatives is represented by the number of contracts, which is the basis on which they are traded. (n/a = not applicable)</w:t>
      </w:r>
    </w:p>
    <w:p>
      <w:pPr>
        <w:sectPr>
          <w:pgSz w:w="11900" w:h="16838" w:orient="portrait"/>
          <w:cols w:equalWidth="0" w:num="1">
            <w:col w:w="11420"/>
          </w:cols>
          <w:pgMar w:left="240" w:top="141" w:right="239" w:bottom="666" w:gutter="0" w:footer="0" w:header="0"/>
          <w:type w:val="continuous"/>
        </w:sect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32 </w:t>
      </w:r>
      <w:r>
        <w:rPr>
          <w:sz w:val="1"/>
          <w:szCs w:val="1"/>
          <w:color w:val="auto"/>
        </w:rPr>
        <w:drawing>
          <wp:inline distT="0" distB="0" distL="0" distR="0">
            <wp:extent cx="111760" cy="1117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666" w:gutter="0" w:footer="0" w:header="0"/>
          <w:type w:val="continuous"/>
        </w:sectPr>
      </w:pPr>
    </w:p>
    <w:bookmarkStart w:id="36" w:name="page37"/>
    <w:bookmarkEnd w:id="36"/>
    <w:p>
      <w:pPr>
        <w:ind w:left="740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the volume and fair value positions of derivative instruments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 xml:space="preserve">Volume </w:t>
            </w:r>
            <w:r>
              <w:rPr>
                <w:rFonts w:ascii="Arial" w:cs="Arial" w:eastAsia="Arial" w:hAnsi="Arial"/>
                <w:sz w:val="11"/>
                <w:szCs w:val="11"/>
                <w:color w:val="005BA5"/>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 except number of contracts)</w:t>
            </w:r>
          </w:p>
        </w:tc>
        <w:tc>
          <w:tcPr>
            <w:tcW w:w="28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Balance sheet location</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Notional</w:t>
            </w: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asset</w:t>
            </w:r>
          </w:p>
        </w:tc>
        <w:tc>
          <w:tcPr>
            <w:tcW w:w="120" w:type="dxa"/>
            <w:vAlign w:val="bottom"/>
          </w:tcPr>
          <w:p>
            <w:pPr>
              <w:spacing w:after="0"/>
              <w:rPr>
                <w:sz w:val="13"/>
                <w:szCs w:val="13"/>
                <w:color w:val="auto"/>
              </w:rPr>
            </w:pPr>
          </w:p>
        </w:tc>
        <w:tc>
          <w:tcPr>
            <w:tcW w:w="6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92"/>
        </w:trPr>
        <w:tc>
          <w:tcPr>
            <w:tcW w:w="3960" w:type="dxa"/>
            <w:vAlign w:val="bottom"/>
            <w:vMerge w:val="continue"/>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amount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contracts</w:t>
            </w:r>
          </w:p>
        </w:tc>
        <w:tc>
          <w:tcPr>
            <w:tcW w:w="200" w:type="dxa"/>
            <w:vAlign w:val="bottom"/>
          </w:tcPr>
          <w:p>
            <w:pPr>
              <w:spacing w:after="0"/>
              <w:rPr>
                <w:sz w:val="16"/>
                <w:szCs w:val="16"/>
                <w:color w:val="auto"/>
              </w:rPr>
            </w:pPr>
          </w:p>
        </w:tc>
        <w:tc>
          <w:tcPr>
            <w:tcW w:w="580" w:type="dxa"/>
            <w:vAlign w:val="bottom"/>
          </w:tcPr>
          <w:p>
            <w:pPr>
              <w:jc w:val="right"/>
              <w:ind w:right="228"/>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liability</w:t>
            </w:r>
          </w:p>
        </w:tc>
        <w:tc>
          <w:tcPr>
            <w:tcW w:w="0" w:type="dxa"/>
            <w:vAlign w:val="bottom"/>
          </w:tcPr>
          <w:p>
            <w:pPr>
              <w:spacing w:after="0"/>
              <w:rPr>
                <w:sz w:val="1"/>
                <w:szCs w:val="1"/>
                <w:color w:val="auto"/>
              </w:rPr>
            </w:pPr>
          </w:p>
        </w:tc>
      </w:tr>
      <w:tr>
        <w:trPr>
          <w:trHeight w:val="250"/>
        </w:trPr>
        <w:tc>
          <w:tcPr>
            <w:tcW w:w="3960" w:type="dxa"/>
            <w:vAlign w:val="bottom"/>
            <w:tcBorders>
              <w:top w:val="single" w:sz="8" w:color="005BA5"/>
              <w:bottom w:val="single" w:sz="8" w:color="ACACAC"/>
            </w:tcBorders>
          </w:tcPr>
          <w:p>
            <w:pPr>
              <w:ind w:left="40"/>
              <w:spacing w:after="0"/>
              <w:rPr>
                <w:sz w:val="20"/>
                <w:szCs w:val="20"/>
                <w:color w:val="auto"/>
              </w:rPr>
            </w:pPr>
            <w:r>
              <w:rPr>
                <w:rFonts w:ascii="Arial" w:cs="Arial" w:eastAsia="Arial" w:hAnsi="Arial"/>
                <w:sz w:val="14"/>
                <w:szCs w:val="14"/>
                <w:b w:val="1"/>
                <w:bCs w:val="1"/>
                <w:color w:val="auto"/>
              </w:rPr>
              <w:t>Asset derivatives</w:t>
            </w:r>
          </w:p>
        </w:tc>
        <w:tc>
          <w:tcPr>
            <w:tcW w:w="2680" w:type="dxa"/>
            <w:vAlign w:val="bottom"/>
            <w:tcBorders>
              <w:top w:val="single" w:sz="8" w:color="005BA5"/>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005BA5"/>
              <w:bottom w:val="single" w:sz="8" w:color="ACACAC"/>
            </w:tcBorders>
          </w:tcPr>
          <w:p>
            <w:pPr>
              <w:spacing w:after="0"/>
              <w:rPr>
                <w:sz w:val="21"/>
                <w:szCs w:val="21"/>
                <w:color w:val="auto"/>
              </w:rPr>
            </w:pPr>
          </w:p>
        </w:tc>
        <w:tc>
          <w:tcPr>
            <w:tcW w:w="780" w:type="dxa"/>
            <w:vAlign w:val="bottom"/>
            <w:tcBorders>
              <w:top w:val="single" w:sz="8" w:color="005BA5"/>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005BA5"/>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005BA5"/>
              <w:bottom w:val="single" w:sz="8" w:color="ACACAC"/>
            </w:tcBorders>
          </w:tcPr>
          <w:p>
            <w:pPr>
              <w:spacing w:after="0"/>
              <w:rPr>
                <w:sz w:val="21"/>
                <w:szCs w:val="21"/>
                <w:color w:val="auto"/>
              </w:rPr>
            </w:pPr>
          </w:p>
        </w:tc>
        <w:tc>
          <w:tcPr>
            <w:tcW w:w="580" w:type="dxa"/>
            <w:vAlign w:val="bottom"/>
            <w:tcBorders>
              <w:top w:val="single" w:sz="8" w:color="005BA5"/>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005BA5"/>
              <w:bottom w:val="single" w:sz="8" w:color="ACACAC"/>
            </w:tcBorders>
          </w:tcPr>
          <w:p>
            <w:pPr>
              <w:spacing w:after="0"/>
              <w:rPr>
                <w:sz w:val="21"/>
                <w:szCs w:val="21"/>
                <w:color w:val="auto"/>
              </w:rPr>
            </w:pPr>
          </w:p>
        </w:tc>
        <w:tc>
          <w:tcPr>
            <w:tcW w:w="500" w:type="dxa"/>
            <w:vAlign w:val="bottom"/>
            <w:tcBorders>
              <w:top w:val="single" w:sz="8" w:color="005BA5"/>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005BA5"/>
              <w:bottom w:val="single" w:sz="8" w:color="ACACAC"/>
            </w:tcBorders>
          </w:tcPr>
          <w:p>
            <w:pPr>
              <w:spacing w:after="0"/>
              <w:rPr>
                <w:sz w:val="21"/>
                <w:szCs w:val="21"/>
                <w:color w:val="auto"/>
              </w:rPr>
            </w:pPr>
          </w:p>
        </w:tc>
        <w:tc>
          <w:tcPr>
            <w:tcW w:w="660" w:type="dxa"/>
            <w:vAlign w:val="bottom"/>
            <w:tcBorders>
              <w:top w:val="single" w:sz="8" w:color="005BA5"/>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40"/>
              <w:spacing w:after="0"/>
              <w:rPr>
                <w:sz w:val="20"/>
                <w:szCs w:val="20"/>
                <w:color w:val="auto"/>
              </w:rPr>
            </w:pPr>
            <w:r>
              <w:rPr>
                <w:rFonts w:ascii="Arial" w:cs="Arial" w:eastAsia="Arial" w:hAnsi="Arial"/>
                <w:sz w:val="14"/>
                <w:szCs w:val="14"/>
                <w:b w:val="1"/>
                <w:bCs w:val="1"/>
                <w:color w:val="auto"/>
                <w:w w:val="93"/>
              </w:rPr>
              <w:t>Derivatives not designated as accounting hedging instruments</w:t>
            </w:r>
          </w:p>
        </w:tc>
        <w:tc>
          <w:tcPr>
            <w:tcW w:w="26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5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Interest rate contracts</w:t>
            </w:r>
          </w:p>
        </w:tc>
        <w:tc>
          <w:tcPr>
            <w:tcW w:w="26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5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Interest rate cap agreements</w:t>
            </w:r>
          </w:p>
        </w:tc>
        <w:tc>
          <w:tcPr>
            <w:tcW w:w="2680" w:type="dxa"/>
            <w:vAlign w:val="bottom"/>
            <w:tcBorders>
              <w:bottom w:val="single" w:sz="8" w:color="ACACAC"/>
            </w:tcBorders>
          </w:tcPr>
          <w:p>
            <w:pPr>
              <w:jc w:val="center"/>
              <w:ind w:right="228"/>
              <w:spacing w:after="0"/>
              <w:rPr>
                <w:sz w:val="20"/>
                <w:szCs w:val="20"/>
                <w:color w:val="auto"/>
              </w:rPr>
            </w:pPr>
            <w:r>
              <w:rPr>
                <w:rFonts w:ascii="Arial" w:cs="Arial" w:eastAsia="Arial" w:hAnsi="Arial"/>
                <w:sz w:val="14"/>
                <w:szCs w:val="14"/>
                <w:color w:val="auto"/>
                <w:w w:val="93"/>
              </w:rPr>
              <w:t>Other investments</w:t>
            </w:r>
          </w:p>
        </w:tc>
        <w:tc>
          <w:tcPr>
            <w:tcW w:w="120" w:type="dxa"/>
            <w:vAlign w:val="bottom"/>
          </w:tcPr>
          <w:p>
            <w:pPr>
              <w:spacing w:after="0"/>
              <w:rPr>
                <w:sz w:val="21"/>
                <w:szCs w:val="21"/>
                <w:color w:val="auto"/>
              </w:rPr>
            </w:pPr>
          </w:p>
        </w:tc>
        <w:tc>
          <w:tcPr>
            <w:tcW w:w="1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1"/>
                <w:szCs w:val="21"/>
                <w:color w:val="auto"/>
              </w:rPr>
            </w:pPr>
          </w:p>
        </w:tc>
        <w:tc>
          <w:tcPr>
            <w:tcW w:w="92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2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60" w:type="dxa"/>
            <w:vAlign w:val="bottom"/>
          </w:tcPr>
          <w:p>
            <w:pPr>
              <w:ind w:left="280"/>
              <w:spacing w:after="0"/>
              <w:rPr>
                <w:sz w:val="20"/>
                <w:szCs w:val="20"/>
                <w:color w:val="auto"/>
              </w:rPr>
            </w:pPr>
            <w:r>
              <w:rPr>
                <w:rFonts w:ascii="Arial" w:cs="Arial" w:eastAsia="Arial" w:hAnsi="Arial"/>
                <w:sz w:val="14"/>
                <w:szCs w:val="14"/>
                <w:color w:val="auto"/>
              </w:rPr>
              <w:t>Futures</w:t>
            </w:r>
          </w:p>
        </w:tc>
        <w:tc>
          <w:tcPr>
            <w:tcW w:w="28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Other assets</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6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Equity and index contracts</w:t>
            </w:r>
          </w:p>
        </w:tc>
        <w:tc>
          <w:tcPr>
            <w:tcW w:w="26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CACAC"/>
              <w:bottom w:val="single" w:sz="8" w:color="ACACAC"/>
            </w:tcBorders>
          </w:tcPr>
          <w:p>
            <w:pPr>
              <w:spacing w:after="0"/>
              <w:rPr>
                <w:sz w:val="21"/>
                <w:szCs w:val="21"/>
                <w:color w:val="auto"/>
              </w:rPr>
            </w:pPr>
          </w:p>
        </w:tc>
        <w:tc>
          <w:tcPr>
            <w:tcW w:w="58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CACAC"/>
              <w:bottom w:val="single" w:sz="8" w:color="ACACAC"/>
            </w:tcBorders>
          </w:tcPr>
          <w:p>
            <w:pPr>
              <w:spacing w:after="0"/>
              <w:rPr>
                <w:sz w:val="21"/>
                <w:szCs w:val="21"/>
                <w:color w:val="auto"/>
              </w:rPr>
            </w:pPr>
          </w:p>
        </w:tc>
        <w:tc>
          <w:tcPr>
            <w:tcW w:w="50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Options</w:t>
            </w:r>
          </w:p>
        </w:tc>
        <w:tc>
          <w:tcPr>
            <w:tcW w:w="2680" w:type="dxa"/>
            <w:vAlign w:val="bottom"/>
            <w:tcBorders>
              <w:bottom w:val="single" w:sz="8" w:color="ACACAC"/>
            </w:tcBorders>
          </w:tcPr>
          <w:p>
            <w:pPr>
              <w:jc w:val="center"/>
              <w:ind w:right="228"/>
              <w:spacing w:after="0"/>
              <w:rPr>
                <w:sz w:val="20"/>
                <w:szCs w:val="20"/>
                <w:color w:val="auto"/>
              </w:rPr>
            </w:pPr>
            <w:r>
              <w:rPr>
                <w:rFonts w:ascii="Arial" w:cs="Arial" w:eastAsia="Arial" w:hAnsi="Arial"/>
                <w:sz w:val="14"/>
                <w:szCs w:val="14"/>
                <w:color w:val="auto"/>
                <w:w w:val="93"/>
              </w:rPr>
              <w:t>Other investments</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2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11,131</w:t>
            </w: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5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60" w:type="dxa"/>
            <w:vAlign w:val="bottom"/>
          </w:tcPr>
          <w:p>
            <w:pPr>
              <w:ind w:left="280"/>
              <w:spacing w:after="0"/>
              <w:rPr>
                <w:sz w:val="20"/>
                <w:szCs w:val="20"/>
                <w:color w:val="auto"/>
              </w:rPr>
            </w:pPr>
            <w:r>
              <w:rPr>
                <w:rFonts w:ascii="Arial" w:cs="Arial" w:eastAsia="Arial" w:hAnsi="Arial"/>
                <w:sz w:val="14"/>
                <w:szCs w:val="14"/>
                <w:color w:val="auto"/>
              </w:rPr>
              <w:t>Futures</w:t>
            </w:r>
          </w:p>
        </w:tc>
        <w:tc>
          <w:tcPr>
            <w:tcW w:w="28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Other assets</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1,453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96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Total return index contracts</w:t>
            </w:r>
          </w:p>
        </w:tc>
        <w:tc>
          <w:tcPr>
            <w:tcW w:w="268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CACAC"/>
              <w:bottom w:val="single" w:sz="8" w:color="ACACAC"/>
            </w:tcBorders>
          </w:tcPr>
          <w:p>
            <w:pPr>
              <w:spacing w:after="0"/>
              <w:rPr>
                <w:sz w:val="22"/>
                <w:szCs w:val="22"/>
                <w:color w:val="auto"/>
              </w:rPr>
            </w:pPr>
          </w:p>
        </w:tc>
        <w:tc>
          <w:tcPr>
            <w:tcW w:w="78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CACAC"/>
              <w:bottom w:val="single" w:sz="8" w:color="ACACAC"/>
            </w:tcBorders>
          </w:tcPr>
          <w:p>
            <w:pPr>
              <w:spacing w:after="0"/>
              <w:rPr>
                <w:sz w:val="22"/>
                <w:szCs w:val="22"/>
                <w:color w:val="auto"/>
              </w:rPr>
            </w:pPr>
          </w:p>
        </w:tc>
        <w:tc>
          <w:tcPr>
            <w:tcW w:w="58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CACAC"/>
              <w:bottom w:val="single" w:sz="8" w:color="ACACAC"/>
            </w:tcBorders>
          </w:tcPr>
          <w:p>
            <w:pPr>
              <w:spacing w:after="0"/>
              <w:rPr>
                <w:sz w:val="22"/>
                <w:szCs w:val="22"/>
                <w:color w:val="auto"/>
              </w:rPr>
            </w:pPr>
          </w:p>
        </w:tc>
        <w:tc>
          <w:tcPr>
            <w:tcW w:w="50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CACAC"/>
              <w:bottom w:val="single" w:sz="8" w:color="ACACAC"/>
            </w:tcBorders>
          </w:tcPr>
          <w:p>
            <w:pPr>
              <w:spacing w:after="0"/>
              <w:rPr>
                <w:sz w:val="22"/>
                <w:szCs w:val="22"/>
                <w:color w:val="auto"/>
              </w:rPr>
            </w:pPr>
          </w:p>
        </w:tc>
        <w:tc>
          <w:tcPr>
            <w:tcW w:w="660" w:type="dxa"/>
            <w:vAlign w:val="bottom"/>
            <w:tcBorders>
              <w:top w:val="single" w:sz="8" w:color="ACACAC"/>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Total return swap agreements – fixed income</w:t>
            </w:r>
          </w:p>
        </w:tc>
        <w:tc>
          <w:tcPr>
            <w:tcW w:w="2680" w:type="dxa"/>
            <w:vAlign w:val="bottom"/>
            <w:tcBorders>
              <w:bottom w:val="single" w:sz="8" w:color="ACACAC"/>
            </w:tcBorders>
          </w:tcPr>
          <w:p>
            <w:pPr>
              <w:jc w:val="center"/>
              <w:ind w:right="228"/>
              <w:spacing w:after="0"/>
              <w:rPr>
                <w:sz w:val="20"/>
                <w:szCs w:val="20"/>
                <w:color w:val="auto"/>
              </w:rPr>
            </w:pPr>
            <w:r>
              <w:rPr>
                <w:rFonts w:ascii="Arial" w:cs="Arial" w:eastAsia="Arial" w:hAnsi="Arial"/>
                <w:sz w:val="14"/>
                <w:szCs w:val="14"/>
                <w:color w:val="auto"/>
                <w:w w:val="93"/>
              </w:rPr>
              <w:t>Other investments</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92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5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60" w:type="dxa"/>
            <w:vAlign w:val="bottom"/>
          </w:tcPr>
          <w:p>
            <w:pPr>
              <w:ind w:left="280"/>
              <w:spacing w:after="0"/>
              <w:rPr>
                <w:sz w:val="20"/>
                <w:szCs w:val="20"/>
                <w:color w:val="auto"/>
              </w:rPr>
            </w:pPr>
            <w:r>
              <w:rPr>
                <w:rFonts w:ascii="Arial" w:cs="Arial" w:eastAsia="Arial" w:hAnsi="Arial"/>
                <w:sz w:val="14"/>
                <w:szCs w:val="14"/>
                <w:color w:val="auto"/>
              </w:rPr>
              <w:t>Total return swap agreements – equity index</w:t>
            </w:r>
          </w:p>
        </w:tc>
        <w:tc>
          <w:tcPr>
            <w:tcW w:w="28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Other investments</w:t>
            </w: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396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Foreign currency contracts</w:t>
            </w:r>
          </w:p>
        </w:tc>
        <w:tc>
          <w:tcPr>
            <w:tcW w:w="26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CACAC"/>
              <w:bottom w:val="single" w:sz="8" w:color="ACACAC"/>
            </w:tcBorders>
          </w:tcPr>
          <w:p>
            <w:pPr>
              <w:spacing w:after="0"/>
              <w:rPr>
                <w:sz w:val="21"/>
                <w:szCs w:val="21"/>
                <w:color w:val="auto"/>
              </w:rPr>
            </w:pPr>
          </w:p>
        </w:tc>
        <w:tc>
          <w:tcPr>
            <w:tcW w:w="58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CACAC"/>
              <w:bottom w:val="single" w:sz="8" w:color="ACACAC"/>
            </w:tcBorders>
          </w:tcPr>
          <w:p>
            <w:pPr>
              <w:spacing w:after="0"/>
              <w:rPr>
                <w:sz w:val="21"/>
                <w:szCs w:val="21"/>
                <w:color w:val="auto"/>
              </w:rPr>
            </w:pPr>
          </w:p>
        </w:tc>
        <w:tc>
          <w:tcPr>
            <w:tcW w:w="50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280"/>
              <w:spacing w:after="0"/>
              <w:rPr>
                <w:sz w:val="20"/>
                <w:szCs w:val="20"/>
                <w:color w:val="auto"/>
              </w:rPr>
            </w:pPr>
            <w:r>
              <w:rPr>
                <w:rFonts w:ascii="Arial" w:cs="Arial" w:eastAsia="Arial" w:hAnsi="Arial"/>
                <w:sz w:val="14"/>
                <w:szCs w:val="14"/>
                <w:color w:val="auto"/>
              </w:rPr>
              <w:t>Foreign currency forwards</w:t>
            </w:r>
          </w:p>
        </w:tc>
        <w:tc>
          <w:tcPr>
            <w:tcW w:w="28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Other investments</w:t>
            </w: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96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Credit default contracts</w:t>
            </w:r>
          </w:p>
        </w:tc>
        <w:tc>
          <w:tcPr>
            <w:tcW w:w="26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CACAC"/>
              <w:bottom w:val="single" w:sz="8" w:color="ACACAC"/>
            </w:tcBorders>
          </w:tcPr>
          <w:p>
            <w:pPr>
              <w:spacing w:after="0"/>
              <w:rPr>
                <w:sz w:val="21"/>
                <w:szCs w:val="21"/>
                <w:color w:val="auto"/>
              </w:rPr>
            </w:pPr>
          </w:p>
        </w:tc>
        <w:tc>
          <w:tcPr>
            <w:tcW w:w="58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CACAC"/>
              <w:bottom w:val="single" w:sz="8" w:color="ACACAC"/>
            </w:tcBorders>
          </w:tcPr>
          <w:p>
            <w:pPr>
              <w:spacing w:after="0"/>
              <w:rPr>
                <w:sz w:val="21"/>
                <w:szCs w:val="21"/>
                <w:color w:val="auto"/>
              </w:rPr>
            </w:pPr>
          </w:p>
        </w:tc>
        <w:tc>
          <w:tcPr>
            <w:tcW w:w="50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280"/>
              <w:spacing w:after="0"/>
              <w:rPr>
                <w:sz w:val="20"/>
                <w:szCs w:val="20"/>
                <w:color w:val="auto"/>
              </w:rPr>
            </w:pPr>
            <w:r>
              <w:rPr>
                <w:rFonts w:ascii="Arial" w:cs="Arial" w:eastAsia="Arial" w:hAnsi="Arial"/>
                <w:sz w:val="14"/>
                <w:szCs w:val="14"/>
                <w:color w:val="auto"/>
              </w:rPr>
              <w:t>Credit default swaps – buying protection</w:t>
            </w:r>
          </w:p>
        </w:tc>
        <w:tc>
          <w:tcPr>
            <w:tcW w:w="2800" w:type="dxa"/>
            <w:vAlign w:val="bottom"/>
            <w:gridSpan w:val="2"/>
          </w:tcPr>
          <w:p>
            <w:pPr>
              <w:jc w:val="center"/>
              <w:ind w:right="420"/>
              <w:spacing w:after="0"/>
              <w:rPr>
                <w:sz w:val="20"/>
                <w:szCs w:val="20"/>
                <w:color w:val="auto"/>
              </w:rPr>
            </w:pPr>
            <w:r>
              <w:rPr>
                <w:rFonts w:ascii="Arial" w:cs="Arial" w:eastAsia="Arial" w:hAnsi="Arial"/>
                <w:sz w:val="14"/>
                <w:szCs w:val="14"/>
                <w:color w:val="auto"/>
                <w:w w:val="93"/>
              </w:rPr>
              <w:t>Other investments</w:t>
            </w: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96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Other contracts</w:t>
            </w:r>
          </w:p>
        </w:tc>
        <w:tc>
          <w:tcPr>
            <w:tcW w:w="26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CACAC"/>
              <w:bottom w:val="single" w:sz="8" w:color="ACACAC"/>
            </w:tcBorders>
          </w:tcPr>
          <w:p>
            <w:pPr>
              <w:spacing w:after="0"/>
              <w:rPr>
                <w:sz w:val="21"/>
                <w:szCs w:val="21"/>
                <w:color w:val="auto"/>
              </w:rPr>
            </w:pPr>
          </w:p>
        </w:tc>
        <w:tc>
          <w:tcPr>
            <w:tcW w:w="58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CACAC"/>
              <w:bottom w:val="single" w:sz="8" w:color="ACACAC"/>
            </w:tcBorders>
          </w:tcPr>
          <w:p>
            <w:pPr>
              <w:spacing w:after="0"/>
              <w:rPr>
                <w:sz w:val="21"/>
                <w:szCs w:val="21"/>
                <w:color w:val="auto"/>
              </w:rPr>
            </w:pPr>
          </w:p>
        </w:tc>
        <w:tc>
          <w:tcPr>
            <w:tcW w:w="50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005BA5"/>
            </w:tcBorders>
          </w:tcPr>
          <w:p>
            <w:pPr>
              <w:ind w:left="280"/>
              <w:spacing w:after="0"/>
              <w:rPr>
                <w:sz w:val="20"/>
                <w:szCs w:val="20"/>
                <w:color w:val="auto"/>
              </w:rPr>
            </w:pPr>
            <w:r>
              <w:rPr>
                <w:rFonts w:ascii="Arial" w:cs="Arial" w:eastAsia="Arial" w:hAnsi="Arial"/>
                <w:sz w:val="14"/>
                <w:szCs w:val="14"/>
                <w:color w:val="auto"/>
              </w:rPr>
              <w:t>Other</w:t>
            </w:r>
          </w:p>
        </w:tc>
        <w:tc>
          <w:tcPr>
            <w:tcW w:w="2680" w:type="dxa"/>
            <w:vAlign w:val="bottom"/>
            <w:tcBorders>
              <w:bottom w:val="single" w:sz="8" w:color="005BA5"/>
            </w:tcBorders>
          </w:tcPr>
          <w:p>
            <w:pPr>
              <w:jc w:val="center"/>
              <w:ind w:right="228"/>
              <w:spacing w:after="0"/>
              <w:rPr>
                <w:sz w:val="20"/>
                <w:szCs w:val="20"/>
                <w:color w:val="auto"/>
              </w:rPr>
            </w:pPr>
            <w:r>
              <w:rPr>
                <w:rFonts w:ascii="Arial" w:cs="Arial" w:eastAsia="Arial" w:hAnsi="Arial"/>
                <w:sz w:val="14"/>
                <w:szCs w:val="14"/>
                <w:color w:val="auto"/>
                <w:w w:val="88"/>
              </w:rPr>
              <w:t>Other assets</w:t>
            </w:r>
          </w:p>
        </w:tc>
        <w:tc>
          <w:tcPr>
            <w:tcW w:w="120" w:type="dxa"/>
            <w:vAlign w:val="bottom"/>
          </w:tcPr>
          <w:p>
            <w:pPr>
              <w:spacing w:after="0"/>
              <w:rPr>
                <w:sz w:val="21"/>
                <w:szCs w:val="21"/>
                <w:color w:val="auto"/>
              </w:rPr>
            </w:pPr>
          </w:p>
        </w:tc>
        <w:tc>
          <w:tcPr>
            <w:tcW w:w="160" w:type="dxa"/>
            <w:vAlign w:val="bottom"/>
            <w:tcBorders>
              <w:bottom w:val="single" w:sz="8" w:color="005BA5"/>
            </w:tcBorders>
          </w:tcPr>
          <w:p>
            <w:pPr>
              <w:spacing w:after="0"/>
              <w:rPr>
                <w:sz w:val="21"/>
                <w:szCs w:val="21"/>
                <w:color w:val="auto"/>
              </w:rPr>
            </w:pPr>
          </w:p>
        </w:tc>
        <w:tc>
          <w:tcPr>
            <w:tcW w:w="7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92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200" w:type="dxa"/>
            <w:vAlign w:val="bottom"/>
            <w:tcBorders>
              <w:bottom w:val="single" w:sz="8" w:color="005BA5"/>
            </w:tcBorders>
          </w:tcPr>
          <w:p>
            <w:pPr>
              <w:spacing w:after="0"/>
              <w:rPr>
                <w:sz w:val="21"/>
                <w:szCs w:val="21"/>
                <w:color w:val="auto"/>
              </w:rPr>
            </w:pPr>
          </w:p>
        </w:tc>
        <w:tc>
          <w:tcPr>
            <w:tcW w:w="5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Borders>
              <w:bottom w:val="single" w:sz="8" w:color="005BA5"/>
            </w:tcBorders>
          </w:tcPr>
          <w:p>
            <w:pPr>
              <w:spacing w:after="0"/>
              <w:rPr>
                <w:sz w:val="21"/>
                <w:szCs w:val="21"/>
                <w:color w:val="auto"/>
              </w:rPr>
            </w:pPr>
          </w:p>
        </w:tc>
        <w:tc>
          <w:tcPr>
            <w:tcW w:w="50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Total asset derivatives</w:t>
            </w: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470</w:t>
            </w:r>
          </w:p>
        </w:tc>
        <w:tc>
          <w:tcPr>
            <w:tcW w:w="12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13,914</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b w:val="1"/>
                <w:bCs w:val="1"/>
                <w:color w:val="auto"/>
              </w:rPr>
              <w:t>124</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130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270"/>
        </w:trPr>
        <w:tc>
          <w:tcPr>
            <w:tcW w:w="3960" w:type="dxa"/>
            <w:vAlign w:val="bottom"/>
            <w:tcBorders>
              <w:top w:val="single" w:sz="8" w:color="005BA5"/>
              <w:bottom w:val="single" w:sz="8" w:color="ACACAC"/>
            </w:tcBorders>
          </w:tcPr>
          <w:p>
            <w:pPr>
              <w:spacing w:after="0"/>
              <w:rPr>
                <w:sz w:val="23"/>
                <w:szCs w:val="23"/>
                <w:color w:val="auto"/>
              </w:rPr>
            </w:pPr>
          </w:p>
        </w:tc>
        <w:tc>
          <w:tcPr>
            <w:tcW w:w="2680" w:type="dxa"/>
            <w:vAlign w:val="bottom"/>
            <w:tcBorders>
              <w:top w:val="single" w:sz="8" w:color="005BA5"/>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005BA5"/>
              <w:bottom w:val="single" w:sz="8" w:color="ACACAC"/>
            </w:tcBorders>
          </w:tcPr>
          <w:p>
            <w:pPr>
              <w:spacing w:after="0"/>
              <w:rPr>
                <w:sz w:val="23"/>
                <w:szCs w:val="23"/>
                <w:color w:val="auto"/>
              </w:rPr>
            </w:pPr>
          </w:p>
        </w:tc>
        <w:tc>
          <w:tcPr>
            <w:tcW w:w="780" w:type="dxa"/>
            <w:vAlign w:val="bottom"/>
            <w:tcBorders>
              <w:top w:val="single" w:sz="8" w:color="005BA5"/>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005BA5"/>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005BA5"/>
              <w:bottom w:val="single" w:sz="8" w:color="ACACAC"/>
            </w:tcBorders>
          </w:tcPr>
          <w:p>
            <w:pPr>
              <w:spacing w:after="0"/>
              <w:rPr>
                <w:sz w:val="23"/>
                <w:szCs w:val="23"/>
                <w:color w:val="auto"/>
              </w:rPr>
            </w:pPr>
          </w:p>
        </w:tc>
        <w:tc>
          <w:tcPr>
            <w:tcW w:w="580" w:type="dxa"/>
            <w:vAlign w:val="bottom"/>
            <w:tcBorders>
              <w:top w:val="single" w:sz="8" w:color="005BA5"/>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005BA5"/>
              <w:bottom w:val="single" w:sz="8" w:color="ACACAC"/>
            </w:tcBorders>
          </w:tcPr>
          <w:p>
            <w:pPr>
              <w:spacing w:after="0"/>
              <w:rPr>
                <w:sz w:val="23"/>
                <w:szCs w:val="23"/>
                <w:color w:val="auto"/>
              </w:rPr>
            </w:pPr>
          </w:p>
        </w:tc>
        <w:tc>
          <w:tcPr>
            <w:tcW w:w="500" w:type="dxa"/>
            <w:vAlign w:val="bottom"/>
            <w:tcBorders>
              <w:top w:val="single" w:sz="8" w:color="005BA5"/>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005BA5"/>
              <w:bottom w:val="single" w:sz="8" w:color="ACACAC"/>
            </w:tcBorders>
          </w:tcPr>
          <w:p>
            <w:pPr>
              <w:spacing w:after="0"/>
              <w:rPr>
                <w:sz w:val="23"/>
                <w:szCs w:val="23"/>
                <w:color w:val="auto"/>
              </w:rPr>
            </w:pPr>
          </w:p>
        </w:tc>
        <w:tc>
          <w:tcPr>
            <w:tcW w:w="660" w:type="dxa"/>
            <w:vAlign w:val="bottom"/>
            <w:tcBorders>
              <w:top w:val="single" w:sz="8" w:color="005BA5"/>
              <w:bottom w:val="single" w:sz="8" w:color="ACACAC"/>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3960" w:type="dxa"/>
            <w:vAlign w:val="bottom"/>
            <w:tcBorders>
              <w:bottom w:val="single" w:sz="8" w:color="ACACAC"/>
            </w:tcBorders>
          </w:tcPr>
          <w:p>
            <w:pPr>
              <w:ind w:left="40"/>
              <w:spacing w:after="0"/>
              <w:rPr>
                <w:sz w:val="20"/>
                <w:szCs w:val="20"/>
                <w:color w:val="auto"/>
              </w:rPr>
            </w:pPr>
            <w:r>
              <w:rPr>
                <w:rFonts w:ascii="Arial" w:cs="Arial" w:eastAsia="Arial" w:hAnsi="Arial"/>
                <w:sz w:val="14"/>
                <w:szCs w:val="14"/>
                <w:b w:val="1"/>
                <w:bCs w:val="1"/>
                <w:color w:val="auto"/>
              </w:rPr>
              <w:t>Liability derivatives</w:t>
            </w:r>
          </w:p>
        </w:tc>
        <w:tc>
          <w:tcPr>
            <w:tcW w:w="26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5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40"/>
              <w:spacing w:after="0"/>
              <w:rPr>
                <w:sz w:val="20"/>
                <w:szCs w:val="20"/>
                <w:color w:val="auto"/>
              </w:rPr>
            </w:pPr>
            <w:r>
              <w:rPr>
                <w:rFonts w:ascii="Arial" w:cs="Arial" w:eastAsia="Arial" w:hAnsi="Arial"/>
                <w:sz w:val="14"/>
                <w:szCs w:val="14"/>
                <w:b w:val="1"/>
                <w:bCs w:val="1"/>
                <w:color w:val="auto"/>
                <w:w w:val="93"/>
              </w:rPr>
              <w:t>Derivatives not designated as accounting hedging instruments</w:t>
            </w:r>
          </w:p>
        </w:tc>
        <w:tc>
          <w:tcPr>
            <w:tcW w:w="26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5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Interest rate contracts</w:t>
            </w:r>
          </w:p>
        </w:tc>
        <w:tc>
          <w:tcPr>
            <w:tcW w:w="26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580" w:type="dxa"/>
            <w:vAlign w:val="bottom"/>
            <w:tcBorders>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Interest rate cap agreements</w:t>
            </w:r>
          </w:p>
        </w:tc>
        <w:tc>
          <w:tcPr>
            <w:tcW w:w="2680" w:type="dxa"/>
            <w:vAlign w:val="bottom"/>
            <w:tcBorders>
              <w:bottom w:val="single" w:sz="8" w:color="ACACAC"/>
            </w:tcBorders>
          </w:tcPr>
          <w:p>
            <w:pPr>
              <w:jc w:val="center"/>
              <w:ind w:right="208"/>
              <w:spacing w:after="0"/>
              <w:rPr>
                <w:sz w:val="20"/>
                <w:szCs w:val="20"/>
                <w:color w:val="auto"/>
              </w:rPr>
            </w:pPr>
            <w:r>
              <w:rPr>
                <w:rFonts w:ascii="Arial" w:cs="Arial" w:eastAsia="Arial" w:hAnsi="Arial"/>
                <w:sz w:val="14"/>
                <w:szCs w:val="14"/>
                <w:color w:val="auto"/>
                <w:w w:val="93"/>
              </w:rPr>
              <w:t>Other liabilities &amp; accrued expenses</w:t>
            </w:r>
          </w:p>
        </w:tc>
        <w:tc>
          <w:tcPr>
            <w:tcW w:w="120" w:type="dxa"/>
            <w:vAlign w:val="bottom"/>
          </w:tcPr>
          <w:p>
            <w:pPr>
              <w:spacing w:after="0"/>
              <w:rPr>
                <w:sz w:val="21"/>
                <w:szCs w:val="21"/>
                <w:color w:val="auto"/>
              </w:rPr>
            </w:pPr>
          </w:p>
        </w:tc>
        <w:tc>
          <w:tcPr>
            <w:tcW w:w="1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1"/>
                <w:szCs w:val="21"/>
                <w:color w:val="auto"/>
              </w:rPr>
            </w:pPr>
          </w:p>
        </w:tc>
        <w:tc>
          <w:tcPr>
            <w:tcW w:w="92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2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8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60" w:type="dxa"/>
            <w:vAlign w:val="bottom"/>
          </w:tcPr>
          <w:p>
            <w:pPr>
              <w:ind w:left="280"/>
              <w:spacing w:after="0"/>
              <w:rPr>
                <w:sz w:val="20"/>
                <w:szCs w:val="20"/>
                <w:color w:val="auto"/>
              </w:rPr>
            </w:pPr>
            <w:r>
              <w:rPr>
                <w:rFonts w:ascii="Arial" w:cs="Arial" w:eastAsia="Arial" w:hAnsi="Arial"/>
                <w:sz w:val="14"/>
                <w:szCs w:val="14"/>
                <w:color w:val="auto"/>
              </w:rPr>
              <w:t>Futures</w:t>
            </w:r>
          </w:p>
        </w:tc>
        <w:tc>
          <w:tcPr>
            <w:tcW w:w="28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Other liabilities &amp; accrued expenses</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96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Equity and index contracts</w:t>
            </w:r>
          </w:p>
        </w:tc>
        <w:tc>
          <w:tcPr>
            <w:tcW w:w="26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CACAC"/>
              <w:bottom w:val="single" w:sz="8" w:color="ACACAC"/>
            </w:tcBorders>
          </w:tcPr>
          <w:p>
            <w:pPr>
              <w:spacing w:after="0"/>
              <w:rPr>
                <w:sz w:val="21"/>
                <w:szCs w:val="21"/>
                <w:color w:val="auto"/>
              </w:rPr>
            </w:pPr>
          </w:p>
        </w:tc>
        <w:tc>
          <w:tcPr>
            <w:tcW w:w="58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CACAC"/>
              <w:bottom w:val="single" w:sz="8" w:color="ACACAC"/>
            </w:tcBorders>
          </w:tcPr>
          <w:p>
            <w:pPr>
              <w:spacing w:after="0"/>
              <w:rPr>
                <w:sz w:val="21"/>
                <w:szCs w:val="21"/>
                <w:color w:val="auto"/>
              </w:rPr>
            </w:pPr>
          </w:p>
        </w:tc>
        <w:tc>
          <w:tcPr>
            <w:tcW w:w="50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280"/>
              <w:spacing w:after="0"/>
              <w:rPr>
                <w:sz w:val="20"/>
                <w:szCs w:val="20"/>
                <w:color w:val="auto"/>
              </w:rPr>
            </w:pPr>
            <w:r>
              <w:rPr>
                <w:rFonts w:ascii="Arial" w:cs="Arial" w:eastAsia="Arial" w:hAnsi="Arial"/>
                <w:sz w:val="14"/>
                <w:szCs w:val="14"/>
                <w:color w:val="auto"/>
              </w:rPr>
              <w:t>Options and futures</w:t>
            </w:r>
          </w:p>
        </w:tc>
        <w:tc>
          <w:tcPr>
            <w:tcW w:w="28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Other liabilities &amp; accrued expenses</w:t>
            </w:r>
          </w:p>
        </w:tc>
        <w:tc>
          <w:tcPr>
            <w:tcW w:w="160" w:type="dxa"/>
            <w:vAlign w:val="bottom"/>
          </w:tcPr>
          <w:p>
            <w:pPr>
              <w:spacing w:after="0"/>
              <w:rPr>
                <w:sz w:val="21"/>
                <w:szCs w:val="21"/>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10,956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396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Total return index contracts</w:t>
            </w:r>
          </w:p>
        </w:tc>
        <w:tc>
          <w:tcPr>
            <w:tcW w:w="268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CACAC"/>
              <w:bottom w:val="single" w:sz="8" w:color="ACACAC"/>
            </w:tcBorders>
          </w:tcPr>
          <w:p>
            <w:pPr>
              <w:spacing w:after="0"/>
              <w:rPr>
                <w:sz w:val="22"/>
                <w:szCs w:val="22"/>
                <w:color w:val="auto"/>
              </w:rPr>
            </w:pPr>
          </w:p>
        </w:tc>
        <w:tc>
          <w:tcPr>
            <w:tcW w:w="78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CACAC"/>
              <w:bottom w:val="single" w:sz="8" w:color="ACACAC"/>
            </w:tcBorders>
          </w:tcPr>
          <w:p>
            <w:pPr>
              <w:spacing w:after="0"/>
              <w:rPr>
                <w:sz w:val="22"/>
                <w:szCs w:val="22"/>
                <w:color w:val="auto"/>
              </w:rPr>
            </w:pPr>
          </w:p>
        </w:tc>
        <w:tc>
          <w:tcPr>
            <w:tcW w:w="58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CACAC"/>
              <w:bottom w:val="single" w:sz="8" w:color="ACACAC"/>
            </w:tcBorders>
          </w:tcPr>
          <w:p>
            <w:pPr>
              <w:spacing w:after="0"/>
              <w:rPr>
                <w:sz w:val="22"/>
                <w:szCs w:val="22"/>
                <w:color w:val="auto"/>
              </w:rPr>
            </w:pPr>
          </w:p>
        </w:tc>
        <w:tc>
          <w:tcPr>
            <w:tcW w:w="50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CACAC"/>
              <w:bottom w:val="single" w:sz="8" w:color="ACACAC"/>
            </w:tcBorders>
          </w:tcPr>
          <w:p>
            <w:pPr>
              <w:spacing w:after="0"/>
              <w:rPr>
                <w:sz w:val="22"/>
                <w:szCs w:val="22"/>
                <w:color w:val="auto"/>
              </w:rPr>
            </w:pPr>
          </w:p>
        </w:tc>
        <w:tc>
          <w:tcPr>
            <w:tcW w:w="660" w:type="dxa"/>
            <w:vAlign w:val="bottom"/>
            <w:tcBorders>
              <w:top w:val="single" w:sz="8" w:color="ACACAC"/>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Total return swap agreements – fixed income</w:t>
            </w:r>
          </w:p>
        </w:tc>
        <w:tc>
          <w:tcPr>
            <w:tcW w:w="2680" w:type="dxa"/>
            <w:vAlign w:val="bottom"/>
            <w:tcBorders>
              <w:bottom w:val="single" w:sz="8" w:color="ACACAC"/>
            </w:tcBorders>
          </w:tcPr>
          <w:p>
            <w:pPr>
              <w:jc w:val="center"/>
              <w:ind w:right="208"/>
              <w:spacing w:after="0"/>
              <w:rPr>
                <w:sz w:val="20"/>
                <w:szCs w:val="20"/>
                <w:color w:val="auto"/>
              </w:rPr>
            </w:pPr>
            <w:r>
              <w:rPr>
                <w:rFonts w:ascii="Arial" w:cs="Arial" w:eastAsia="Arial" w:hAnsi="Arial"/>
                <w:sz w:val="14"/>
                <w:szCs w:val="14"/>
                <w:color w:val="auto"/>
                <w:w w:val="93"/>
              </w:rPr>
              <w:t>Other liabilities &amp; accrued expenses</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1"/>
                <w:szCs w:val="21"/>
                <w:color w:val="auto"/>
              </w:rPr>
            </w:pPr>
          </w:p>
        </w:tc>
        <w:tc>
          <w:tcPr>
            <w:tcW w:w="92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58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960" w:type="dxa"/>
            <w:vAlign w:val="bottom"/>
          </w:tcPr>
          <w:p>
            <w:pPr>
              <w:ind w:left="280"/>
              <w:spacing w:after="0"/>
              <w:rPr>
                <w:sz w:val="20"/>
                <w:szCs w:val="20"/>
                <w:color w:val="auto"/>
              </w:rPr>
            </w:pPr>
            <w:r>
              <w:rPr>
                <w:rFonts w:ascii="Arial" w:cs="Arial" w:eastAsia="Arial" w:hAnsi="Arial"/>
                <w:sz w:val="14"/>
                <w:szCs w:val="14"/>
                <w:color w:val="auto"/>
              </w:rPr>
              <w:t>Total return swap agreements – equity index</w:t>
            </w:r>
          </w:p>
        </w:tc>
        <w:tc>
          <w:tcPr>
            <w:tcW w:w="28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Other liabilities &amp; accrued expenses</w:t>
            </w: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96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Foreign currency contracts</w:t>
            </w:r>
          </w:p>
        </w:tc>
        <w:tc>
          <w:tcPr>
            <w:tcW w:w="26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CACAC"/>
              <w:bottom w:val="single" w:sz="8" w:color="ACACAC"/>
            </w:tcBorders>
          </w:tcPr>
          <w:p>
            <w:pPr>
              <w:spacing w:after="0"/>
              <w:rPr>
                <w:sz w:val="21"/>
                <w:szCs w:val="21"/>
                <w:color w:val="auto"/>
              </w:rPr>
            </w:pPr>
          </w:p>
        </w:tc>
        <w:tc>
          <w:tcPr>
            <w:tcW w:w="58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CACAC"/>
              <w:bottom w:val="single" w:sz="8" w:color="ACACAC"/>
            </w:tcBorders>
          </w:tcPr>
          <w:p>
            <w:pPr>
              <w:spacing w:after="0"/>
              <w:rPr>
                <w:sz w:val="21"/>
                <w:szCs w:val="21"/>
                <w:color w:val="auto"/>
              </w:rPr>
            </w:pPr>
          </w:p>
        </w:tc>
        <w:tc>
          <w:tcPr>
            <w:tcW w:w="50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Pr>
          <w:p>
            <w:pPr>
              <w:ind w:left="280"/>
              <w:spacing w:after="0"/>
              <w:rPr>
                <w:sz w:val="20"/>
                <w:szCs w:val="20"/>
                <w:color w:val="auto"/>
              </w:rPr>
            </w:pPr>
            <w:r>
              <w:rPr>
                <w:rFonts w:ascii="Arial" w:cs="Arial" w:eastAsia="Arial" w:hAnsi="Arial"/>
                <w:sz w:val="14"/>
                <w:szCs w:val="14"/>
                <w:color w:val="auto"/>
              </w:rPr>
              <w:t>Foreign currency forwards</w:t>
            </w:r>
          </w:p>
        </w:tc>
        <w:tc>
          <w:tcPr>
            <w:tcW w:w="280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Other liabilities &amp; accrued expenses</w:t>
            </w: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96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Embedded derivative financial instruments</w:t>
            </w:r>
          </w:p>
        </w:tc>
        <w:tc>
          <w:tcPr>
            <w:tcW w:w="26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CACAC"/>
              <w:bottom w:val="single" w:sz="8" w:color="ACACAC"/>
            </w:tcBorders>
          </w:tcPr>
          <w:p>
            <w:pPr>
              <w:spacing w:after="0"/>
              <w:rPr>
                <w:sz w:val="21"/>
                <w:szCs w:val="21"/>
                <w:color w:val="auto"/>
              </w:rPr>
            </w:pPr>
          </w:p>
        </w:tc>
        <w:tc>
          <w:tcPr>
            <w:tcW w:w="58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CACAC"/>
              <w:bottom w:val="single" w:sz="8" w:color="ACACAC"/>
            </w:tcBorders>
          </w:tcPr>
          <w:p>
            <w:pPr>
              <w:spacing w:after="0"/>
              <w:rPr>
                <w:sz w:val="21"/>
                <w:szCs w:val="21"/>
                <w:color w:val="auto"/>
              </w:rPr>
            </w:pPr>
          </w:p>
        </w:tc>
        <w:tc>
          <w:tcPr>
            <w:tcW w:w="50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Guaranteed accumulation benefits</w:t>
            </w:r>
          </w:p>
        </w:tc>
        <w:tc>
          <w:tcPr>
            <w:tcW w:w="2680" w:type="dxa"/>
            <w:vAlign w:val="bottom"/>
            <w:tcBorders>
              <w:bottom w:val="single" w:sz="8" w:color="ACACAC"/>
            </w:tcBorders>
          </w:tcPr>
          <w:p>
            <w:pPr>
              <w:jc w:val="center"/>
              <w:ind w:right="228"/>
              <w:spacing w:after="0"/>
              <w:rPr>
                <w:sz w:val="20"/>
                <w:szCs w:val="20"/>
                <w:color w:val="auto"/>
              </w:rPr>
            </w:pPr>
            <w:r>
              <w:rPr>
                <w:rFonts w:ascii="Arial" w:cs="Arial" w:eastAsia="Arial" w:hAnsi="Arial"/>
                <w:sz w:val="14"/>
                <w:szCs w:val="14"/>
                <w:color w:val="auto"/>
                <w:w w:val="93"/>
              </w:rPr>
              <w:t>Contractholder funds</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1"/>
                <w:szCs w:val="21"/>
                <w:color w:val="auto"/>
              </w:rPr>
            </w:pPr>
          </w:p>
        </w:tc>
        <w:tc>
          <w:tcPr>
            <w:tcW w:w="92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58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Guaranteed withdrawal benefits</w:t>
            </w:r>
          </w:p>
        </w:tc>
        <w:tc>
          <w:tcPr>
            <w:tcW w:w="2680" w:type="dxa"/>
            <w:vAlign w:val="bottom"/>
            <w:tcBorders>
              <w:bottom w:val="single" w:sz="8" w:color="ACACAC"/>
            </w:tcBorders>
          </w:tcPr>
          <w:p>
            <w:pPr>
              <w:jc w:val="center"/>
              <w:ind w:right="228"/>
              <w:spacing w:after="0"/>
              <w:rPr>
                <w:sz w:val="20"/>
                <w:szCs w:val="20"/>
                <w:color w:val="auto"/>
              </w:rPr>
            </w:pPr>
            <w:r>
              <w:rPr>
                <w:rFonts w:ascii="Arial" w:cs="Arial" w:eastAsia="Arial" w:hAnsi="Arial"/>
                <w:sz w:val="14"/>
                <w:szCs w:val="14"/>
                <w:color w:val="auto"/>
                <w:w w:val="93"/>
              </w:rPr>
              <w:t>Contractholder funds</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1"/>
                <w:szCs w:val="21"/>
                <w:color w:val="auto"/>
              </w:rPr>
            </w:pPr>
          </w:p>
        </w:tc>
        <w:tc>
          <w:tcPr>
            <w:tcW w:w="92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58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3960" w:type="dxa"/>
            <w:vAlign w:val="bottom"/>
          </w:tcPr>
          <w:p>
            <w:pPr>
              <w:ind w:left="280"/>
              <w:spacing w:after="0" w:line="157" w:lineRule="exact"/>
              <w:rPr>
                <w:sz w:val="20"/>
                <w:szCs w:val="20"/>
                <w:color w:val="auto"/>
              </w:rPr>
            </w:pPr>
            <w:r>
              <w:rPr>
                <w:rFonts w:ascii="Arial" w:cs="Arial" w:eastAsia="Arial" w:hAnsi="Arial"/>
                <w:sz w:val="14"/>
                <w:szCs w:val="14"/>
                <w:color w:val="auto"/>
              </w:rPr>
              <w:t>Equity-indexed and forward starting options in life and</w:t>
            </w:r>
          </w:p>
        </w:tc>
        <w:tc>
          <w:tcPr>
            <w:tcW w:w="2800" w:type="dxa"/>
            <w:vAlign w:val="bottom"/>
            <w:gridSpan w:val="2"/>
            <w:vMerge w:val="restart"/>
          </w:tcPr>
          <w:p>
            <w:pPr>
              <w:jc w:val="center"/>
              <w:ind w:right="420"/>
              <w:spacing w:after="0"/>
              <w:rPr>
                <w:sz w:val="20"/>
                <w:szCs w:val="20"/>
                <w:color w:val="auto"/>
              </w:rPr>
            </w:pPr>
            <w:r>
              <w:rPr>
                <w:rFonts w:ascii="Arial" w:cs="Arial" w:eastAsia="Arial" w:hAnsi="Arial"/>
                <w:sz w:val="14"/>
                <w:szCs w:val="14"/>
                <w:color w:val="auto"/>
                <w:w w:val="93"/>
              </w:rPr>
              <w:t>Contractholder funds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960" w:type="dxa"/>
            <w:vAlign w:val="bottom"/>
            <w:vMerge w:val="restart"/>
          </w:tcPr>
          <w:p>
            <w:pPr>
              <w:ind w:left="280"/>
              <w:spacing w:after="0"/>
              <w:rPr>
                <w:sz w:val="20"/>
                <w:szCs w:val="20"/>
                <w:color w:val="auto"/>
              </w:rPr>
            </w:pPr>
            <w:r>
              <w:rPr>
                <w:rFonts w:ascii="Arial" w:cs="Arial" w:eastAsia="Arial" w:hAnsi="Arial"/>
                <w:sz w:val="14"/>
                <w:szCs w:val="14"/>
                <w:color w:val="auto"/>
              </w:rPr>
              <w:t>annuity product contracts</w:t>
            </w:r>
          </w:p>
        </w:tc>
        <w:tc>
          <w:tcPr>
            <w:tcW w:w="28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1,770</w:t>
            </w:r>
          </w:p>
        </w:tc>
        <w:tc>
          <w:tcPr>
            <w:tcW w:w="120" w:type="dxa"/>
            <w:vAlign w:val="bottom"/>
          </w:tcPr>
          <w:p>
            <w:pPr>
              <w:spacing w:after="0"/>
              <w:rPr>
                <w:sz w:val="8"/>
                <w:szCs w:val="8"/>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n/a</w:t>
            </w:r>
          </w:p>
        </w:tc>
        <w:tc>
          <w:tcPr>
            <w:tcW w:w="20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87"/>
        </w:trPr>
        <w:tc>
          <w:tcPr>
            <w:tcW w:w="3960" w:type="dxa"/>
            <w:vAlign w:val="bottom"/>
            <w:vMerge w:val="continue"/>
          </w:tcPr>
          <w:p>
            <w:pPr>
              <w:spacing w:after="0"/>
              <w:rPr>
                <w:sz w:val="7"/>
                <w:szCs w:val="7"/>
                <w:color w:val="auto"/>
              </w:rPr>
            </w:pPr>
          </w:p>
        </w:tc>
        <w:tc>
          <w:tcPr>
            <w:tcW w:w="2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3960" w:type="dxa"/>
            <w:vAlign w:val="bottom"/>
            <w:tcBorders>
              <w:top w:val="single" w:sz="8" w:color="ACACAC"/>
              <w:bottom w:val="single" w:sz="8" w:color="ACACAC"/>
            </w:tcBorders>
          </w:tcPr>
          <w:p>
            <w:pPr>
              <w:ind w:left="180"/>
              <w:spacing w:after="0"/>
              <w:rPr>
                <w:sz w:val="20"/>
                <w:szCs w:val="20"/>
                <w:color w:val="auto"/>
              </w:rPr>
            </w:pPr>
            <w:r>
              <w:rPr>
                <w:rFonts w:ascii="Arial" w:cs="Arial" w:eastAsia="Arial" w:hAnsi="Arial"/>
                <w:sz w:val="14"/>
                <w:szCs w:val="14"/>
                <w:b w:val="1"/>
                <w:bCs w:val="1"/>
                <w:color w:val="auto"/>
              </w:rPr>
              <w:t>Credit default contracts</w:t>
            </w:r>
          </w:p>
        </w:tc>
        <w:tc>
          <w:tcPr>
            <w:tcW w:w="26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CACAC"/>
              <w:bottom w:val="single" w:sz="8" w:color="ACACAC"/>
            </w:tcBorders>
          </w:tcPr>
          <w:p>
            <w:pPr>
              <w:spacing w:after="0"/>
              <w:rPr>
                <w:sz w:val="21"/>
                <w:szCs w:val="21"/>
                <w:color w:val="auto"/>
              </w:rPr>
            </w:pPr>
          </w:p>
        </w:tc>
        <w:tc>
          <w:tcPr>
            <w:tcW w:w="78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CACAC"/>
              <w:bottom w:val="single" w:sz="8" w:color="ACACAC"/>
            </w:tcBorders>
          </w:tcPr>
          <w:p>
            <w:pPr>
              <w:spacing w:after="0"/>
              <w:rPr>
                <w:sz w:val="21"/>
                <w:szCs w:val="21"/>
                <w:color w:val="auto"/>
              </w:rPr>
            </w:pPr>
          </w:p>
        </w:tc>
        <w:tc>
          <w:tcPr>
            <w:tcW w:w="580" w:type="dxa"/>
            <w:vAlign w:val="bottom"/>
            <w:tcBorders>
              <w:top w:val="single" w:sz="8" w:color="ACACAC"/>
              <w:bottom w:val="single" w:sz="8" w:color="ACACAC"/>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CACAC"/>
              <w:bottom w:val="single" w:sz="8" w:color="ACACAC"/>
            </w:tcBorders>
          </w:tcPr>
          <w:p>
            <w:pPr>
              <w:spacing w:after="0"/>
              <w:rPr>
                <w:sz w:val="21"/>
                <w:szCs w:val="21"/>
                <w:color w:val="auto"/>
              </w:rPr>
            </w:pPr>
          </w:p>
        </w:tc>
        <w:tc>
          <w:tcPr>
            <w:tcW w:w="500" w:type="dxa"/>
            <w:vAlign w:val="bottom"/>
            <w:tcBorders>
              <w:top w:val="single" w:sz="8" w:color="ACACAC"/>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CACAC"/>
              <w:bottom w:val="single" w:sz="8" w:color="ACACAC"/>
            </w:tcBorders>
          </w:tcPr>
          <w:p>
            <w:pPr>
              <w:spacing w:after="0"/>
              <w:rPr>
                <w:sz w:val="21"/>
                <w:szCs w:val="21"/>
                <w:color w:val="auto"/>
              </w:rPr>
            </w:pPr>
          </w:p>
        </w:tc>
        <w:tc>
          <w:tcPr>
            <w:tcW w:w="660" w:type="dxa"/>
            <w:vAlign w:val="bottom"/>
            <w:tcBorders>
              <w:top w:val="single" w:sz="8" w:color="ACACAC"/>
              <w:bottom w:val="single" w:sz="8" w:color="ACACA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ACACAC"/>
            </w:tcBorders>
          </w:tcPr>
          <w:p>
            <w:pPr>
              <w:ind w:left="280"/>
              <w:spacing w:after="0"/>
              <w:rPr>
                <w:sz w:val="20"/>
                <w:szCs w:val="20"/>
                <w:color w:val="auto"/>
              </w:rPr>
            </w:pPr>
            <w:r>
              <w:rPr>
                <w:rFonts w:ascii="Arial" w:cs="Arial" w:eastAsia="Arial" w:hAnsi="Arial"/>
                <w:sz w:val="14"/>
                <w:szCs w:val="14"/>
                <w:color w:val="auto"/>
              </w:rPr>
              <w:t>Credit default swaps – buying protection</w:t>
            </w:r>
          </w:p>
        </w:tc>
        <w:tc>
          <w:tcPr>
            <w:tcW w:w="2680" w:type="dxa"/>
            <w:vAlign w:val="bottom"/>
            <w:tcBorders>
              <w:bottom w:val="single" w:sz="8" w:color="ACACAC"/>
            </w:tcBorders>
          </w:tcPr>
          <w:p>
            <w:pPr>
              <w:jc w:val="center"/>
              <w:ind w:right="208"/>
              <w:spacing w:after="0"/>
              <w:rPr>
                <w:sz w:val="20"/>
                <w:szCs w:val="20"/>
                <w:color w:val="auto"/>
              </w:rPr>
            </w:pPr>
            <w:r>
              <w:rPr>
                <w:rFonts w:ascii="Arial" w:cs="Arial" w:eastAsia="Arial" w:hAnsi="Arial"/>
                <w:sz w:val="14"/>
                <w:szCs w:val="14"/>
                <w:color w:val="auto"/>
                <w:w w:val="93"/>
              </w:rPr>
              <w:t>Other liabilities &amp; accrued expenses</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7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1"/>
                <w:szCs w:val="21"/>
                <w:color w:val="auto"/>
              </w:rPr>
            </w:pPr>
          </w:p>
        </w:tc>
        <w:tc>
          <w:tcPr>
            <w:tcW w:w="92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5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60" w:type="dxa"/>
            <w:vAlign w:val="bottom"/>
            <w:tcBorders>
              <w:bottom w:val="single" w:sz="8" w:color="005BA5"/>
            </w:tcBorders>
          </w:tcPr>
          <w:p>
            <w:pPr>
              <w:ind w:left="280"/>
              <w:spacing w:after="0"/>
              <w:rPr>
                <w:sz w:val="20"/>
                <w:szCs w:val="20"/>
                <w:color w:val="auto"/>
              </w:rPr>
            </w:pPr>
            <w:r>
              <w:rPr>
                <w:rFonts w:ascii="Arial" w:cs="Arial" w:eastAsia="Arial" w:hAnsi="Arial"/>
                <w:sz w:val="14"/>
                <w:szCs w:val="14"/>
                <w:color w:val="auto"/>
              </w:rPr>
              <w:t>Credit default swaps – selling protection</w:t>
            </w:r>
          </w:p>
        </w:tc>
        <w:tc>
          <w:tcPr>
            <w:tcW w:w="2680" w:type="dxa"/>
            <w:vAlign w:val="bottom"/>
            <w:tcBorders>
              <w:bottom w:val="single" w:sz="8" w:color="005BA5"/>
            </w:tcBorders>
          </w:tcPr>
          <w:p>
            <w:pPr>
              <w:jc w:val="center"/>
              <w:ind w:right="208"/>
              <w:spacing w:after="0"/>
              <w:rPr>
                <w:sz w:val="20"/>
                <w:szCs w:val="20"/>
                <w:color w:val="auto"/>
              </w:rPr>
            </w:pPr>
            <w:r>
              <w:rPr>
                <w:rFonts w:ascii="Arial" w:cs="Arial" w:eastAsia="Arial" w:hAnsi="Arial"/>
                <w:sz w:val="14"/>
                <w:szCs w:val="14"/>
                <w:color w:val="auto"/>
                <w:w w:val="93"/>
              </w:rPr>
              <w:t>Other liabilities &amp; accrued expenses</w:t>
            </w:r>
          </w:p>
        </w:tc>
        <w:tc>
          <w:tcPr>
            <w:tcW w:w="120" w:type="dxa"/>
            <w:vAlign w:val="bottom"/>
          </w:tcPr>
          <w:p>
            <w:pPr>
              <w:spacing w:after="0"/>
              <w:rPr>
                <w:sz w:val="21"/>
                <w:szCs w:val="21"/>
                <w:color w:val="auto"/>
              </w:rPr>
            </w:pPr>
          </w:p>
        </w:tc>
        <w:tc>
          <w:tcPr>
            <w:tcW w:w="160" w:type="dxa"/>
            <w:vAlign w:val="bottom"/>
            <w:tcBorders>
              <w:bottom w:val="single" w:sz="8" w:color="005BA5"/>
            </w:tcBorders>
          </w:tcPr>
          <w:p>
            <w:pPr>
              <w:spacing w:after="0"/>
              <w:rPr>
                <w:sz w:val="21"/>
                <w:szCs w:val="21"/>
                <w:color w:val="auto"/>
              </w:rPr>
            </w:pPr>
          </w:p>
        </w:tc>
        <w:tc>
          <w:tcPr>
            <w:tcW w:w="7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92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21"/>
                <w:szCs w:val="21"/>
                <w:color w:val="auto"/>
              </w:rPr>
            </w:pPr>
          </w:p>
        </w:tc>
        <w:tc>
          <w:tcPr>
            <w:tcW w:w="200" w:type="dxa"/>
            <w:vAlign w:val="bottom"/>
            <w:tcBorders>
              <w:bottom w:val="single" w:sz="8" w:color="005BA5"/>
            </w:tcBorders>
          </w:tcPr>
          <w:p>
            <w:pPr>
              <w:spacing w:after="0"/>
              <w:rPr>
                <w:sz w:val="21"/>
                <w:szCs w:val="21"/>
                <w:color w:val="auto"/>
              </w:rPr>
            </w:pPr>
          </w:p>
        </w:tc>
        <w:tc>
          <w:tcPr>
            <w:tcW w:w="5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280" w:type="dxa"/>
            <w:vAlign w:val="bottom"/>
            <w:tcBorders>
              <w:bottom w:val="single" w:sz="8" w:color="005BA5"/>
            </w:tcBorders>
          </w:tcPr>
          <w:p>
            <w:pPr>
              <w:spacing w:after="0"/>
              <w:rPr>
                <w:sz w:val="21"/>
                <w:szCs w:val="21"/>
                <w:color w:val="auto"/>
              </w:rPr>
            </w:pPr>
          </w:p>
        </w:tc>
        <w:tc>
          <w:tcPr>
            <w:tcW w:w="50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Total liability derivatives</w:t>
            </w:r>
          </w:p>
        </w:tc>
        <w:tc>
          <w:tcPr>
            <w:tcW w:w="2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2,675</w:t>
            </w:r>
          </w:p>
        </w:tc>
        <w:tc>
          <w:tcPr>
            <w:tcW w:w="12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12,256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(269)</w:t>
            </w:r>
          </w:p>
        </w:tc>
        <w:tc>
          <w:tcPr>
            <w:tcW w:w="3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b w:val="1"/>
                <w:bCs w:val="1"/>
                <w:color w:val="auto"/>
              </w:rPr>
              <w:t>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(281)</w:t>
            </w:r>
          </w:p>
        </w:tc>
        <w:tc>
          <w:tcPr>
            <w:tcW w:w="0" w:type="dxa"/>
            <w:vAlign w:val="bottom"/>
          </w:tcPr>
          <w:p>
            <w:pPr>
              <w:spacing w:after="0"/>
              <w:rPr>
                <w:sz w:val="1"/>
                <w:szCs w:val="1"/>
                <w:color w:val="auto"/>
              </w:rPr>
            </w:pPr>
          </w:p>
        </w:tc>
      </w:tr>
      <w:tr>
        <w:trPr>
          <w:trHeight w:val="250"/>
        </w:trPr>
        <w:tc>
          <w:tcPr>
            <w:tcW w:w="3960" w:type="dxa"/>
            <w:vAlign w:val="bottom"/>
            <w:tcBorders>
              <w:top w:val="single" w:sz="8" w:color="005BA5"/>
              <w:bottom w:val="single" w:sz="8" w:color="005BA5"/>
            </w:tcBorders>
          </w:tcPr>
          <w:p>
            <w:pPr>
              <w:ind w:left="40"/>
              <w:spacing w:after="0"/>
              <w:rPr>
                <w:sz w:val="20"/>
                <w:szCs w:val="20"/>
                <w:color w:val="auto"/>
              </w:rPr>
            </w:pPr>
            <w:r>
              <w:rPr>
                <w:rFonts w:ascii="Arial" w:cs="Arial" w:eastAsia="Arial" w:hAnsi="Arial"/>
                <w:sz w:val="14"/>
                <w:szCs w:val="14"/>
                <w:b w:val="1"/>
                <w:bCs w:val="1"/>
                <w:color w:val="auto"/>
              </w:rPr>
              <w:t>Total derivatives</w:t>
            </w:r>
          </w:p>
        </w:tc>
        <w:tc>
          <w:tcPr>
            <w:tcW w:w="2680" w:type="dxa"/>
            <w:vAlign w:val="bottom"/>
            <w:tcBorders>
              <w:top w:val="single" w:sz="8" w:color="005BA5"/>
              <w:bottom w:val="single" w:sz="8" w:color="005BA5"/>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005BA5"/>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005BA5"/>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3,145</w:t>
            </w:r>
          </w:p>
        </w:tc>
        <w:tc>
          <w:tcPr>
            <w:tcW w:w="120" w:type="dxa"/>
            <w:vAlign w:val="bottom"/>
          </w:tcPr>
          <w:p>
            <w:pPr>
              <w:spacing w:after="0"/>
              <w:rPr>
                <w:sz w:val="21"/>
                <w:szCs w:val="21"/>
                <w:color w:val="auto"/>
              </w:rPr>
            </w:pPr>
          </w:p>
        </w:tc>
        <w:tc>
          <w:tcPr>
            <w:tcW w:w="920" w:type="dxa"/>
            <w:vAlign w:val="bottom"/>
            <w:tcBorders>
              <w:top w:val="single" w:sz="8" w:color="005BA5"/>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26,170</w:t>
            </w:r>
          </w:p>
        </w:tc>
        <w:tc>
          <w:tcPr>
            <w:tcW w:w="120" w:type="dxa"/>
            <w:vAlign w:val="bottom"/>
          </w:tcPr>
          <w:p>
            <w:pPr>
              <w:spacing w:after="0"/>
              <w:rPr>
                <w:sz w:val="21"/>
                <w:szCs w:val="21"/>
                <w:color w:val="auto"/>
              </w:rPr>
            </w:pPr>
          </w:p>
        </w:tc>
        <w:tc>
          <w:tcPr>
            <w:tcW w:w="200" w:type="dxa"/>
            <w:vAlign w:val="bottom"/>
            <w:tcBorders>
              <w:top w:val="single" w:sz="8" w:color="005BA5"/>
              <w:bottom w:val="single" w:sz="8" w:color="005BA5"/>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005BA5"/>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tcPr>
          <w:p>
            <w:pPr>
              <w:spacing w:after="0"/>
              <w:rPr>
                <w:sz w:val="21"/>
                <w:szCs w:val="21"/>
                <w:color w:val="auto"/>
              </w:rPr>
            </w:pPr>
          </w:p>
        </w:tc>
        <w:tc>
          <w:tcPr>
            <w:tcW w:w="280" w:type="dxa"/>
            <w:vAlign w:val="bottom"/>
            <w:tcBorders>
              <w:top w:val="single" w:sz="8" w:color="005BA5"/>
            </w:tcBorders>
          </w:tcPr>
          <w:p>
            <w:pPr>
              <w:spacing w:after="0"/>
              <w:rPr>
                <w:sz w:val="21"/>
                <w:szCs w:val="21"/>
                <w:color w:val="auto"/>
              </w:rPr>
            </w:pPr>
          </w:p>
        </w:tc>
        <w:tc>
          <w:tcPr>
            <w:tcW w:w="500" w:type="dxa"/>
            <w:vAlign w:val="bottom"/>
            <w:tcBorders>
              <w:top w:val="single" w:sz="8" w:color="005BA5"/>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005BA5"/>
            </w:tcBorders>
          </w:tcPr>
          <w:p>
            <w:pPr>
              <w:spacing w:after="0"/>
              <w:rPr>
                <w:sz w:val="21"/>
                <w:szCs w:val="21"/>
                <w:color w:val="auto"/>
              </w:rPr>
            </w:pPr>
          </w:p>
        </w:tc>
        <w:tc>
          <w:tcPr>
            <w:tcW w:w="660" w:type="dxa"/>
            <w:vAlign w:val="bottom"/>
            <w:tcBorders>
              <w:top w:val="single" w:sz="8" w:color="005BA5"/>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340" w:right="40" w:hanging="251"/>
        <w:spacing w:after="0" w:line="183" w:lineRule="auto"/>
        <w:tabs>
          <w:tab w:leader="none" w:pos="340" w:val="left"/>
        </w:tabs>
        <w:numPr>
          <w:ilvl w:val="0"/>
          <w:numId w:val="19"/>
        </w:numPr>
        <w:rPr>
          <w:rFonts w:ascii="Arial" w:cs="Arial" w:eastAsia="Arial" w:hAnsi="Arial"/>
          <w:sz w:val="24"/>
          <w:szCs w:val="24"/>
          <w:color w:val="005BA5"/>
          <w:vertAlign w:val="superscript"/>
        </w:rPr>
      </w:pPr>
      <w:r>
        <w:rPr>
          <w:rFonts w:ascii="Arial" w:cs="Arial" w:eastAsia="Arial" w:hAnsi="Arial"/>
          <w:sz w:val="14"/>
          <w:szCs w:val="14"/>
          <w:color w:val="auto"/>
        </w:rPr>
        <w:t>Volume for OTC and cleared derivative contracts is represented by their notional amounts. Volume for exchange traded derivatives is represented by the number of contracts, which is the basis on which they are traded. (n/a = not applicable)</w:t>
      </w:r>
    </w:p>
    <w:p>
      <w:pPr>
        <w:sectPr>
          <w:pgSz w:w="11900" w:h="16838" w:orient="portrait"/>
          <w:cols w:equalWidth="0" w:num="1">
            <w:col w:w="11420"/>
          </w:cols>
          <w:pgMar w:left="240" w:top="141" w:right="239" w:bottom="1440" w:gutter="0" w:footer="0" w:header="0"/>
        </w:sectPr>
      </w:pPr>
    </w:p>
    <w:p>
      <w:pPr>
        <w:spacing w:after="0" w:line="231"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33</w:t>
      </w:r>
    </w:p>
    <w:p>
      <w:pPr>
        <w:sectPr>
          <w:pgSz w:w="11900" w:h="16838" w:orient="portrait"/>
          <w:cols w:equalWidth="0" w:num="1">
            <w:col w:w="11420"/>
          </w:cols>
          <w:pgMar w:left="240" w:top="141"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Gross and net amounts for OTC derivatives </w:t>
      </w:r>
      <w:r>
        <w:rPr>
          <w:rFonts w:ascii="Arial" w:cs="Arial" w:eastAsia="Arial" w:hAnsi="Arial"/>
          <w:sz w:val="27"/>
          <w:szCs w:val="27"/>
          <w:b w:val="1"/>
          <w:bCs w:val="1"/>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9"/>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5"/>
          </w:tcPr>
          <w:p>
            <w:pPr>
              <w:ind w:left="1060"/>
              <w:spacing w:after="0"/>
              <w:rPr>
                <w:sz w:val="20"/>
                <w:szCs w:val="20"/>
                <w:color w:val="auto"/>
              </w:rPr>
            </w:pPr>
            <w:r>
              <w:rPr>
                <w:rFonts w:ascii="Arial" w:cs="Arial" w:eastAsia="Arial" w:hAnsi="Arial"/>
                <w:sz w:val="16"/>
                <w:szCs w:val="16"/>
                <w:b w:val="1"/>
                <w:bCs w:val="1"/>
                <w:color w:val="auto"/>
              </w:rPr>
              <w:t>Offsets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02"/>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Securities</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Counter-party</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Cash collateral</w:t>
            </w:r>
          </w:p>
        </w:tc>
        <w:tc>
          <w:tcPr>
            <w:tcW w:w="12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amount on</w:t>
            </w:r>
          </w:p>
        </w:tc>
        <w:tc>
          <w:tcPr>
            <w:tcW w:w="22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collateral</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37"/>
        </w:trPr>
        <w:tc>
          <w:tcPr>
            <w:tcW w:w="252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160" w:type="dxa"/>
            <w:vAlign w:val="bottom"/>
            <w:tcBorders>
              <w:bottom w:val="single" w:sz="8" w:color="005BA5"/>
            </w:tcBorders>
          </w:tcPr>
          <w:p>
            <w:pPr>
              <w:spacing w:after="0"/>
              <w:rPr>
                <w:sz w:val="20"/>
                <w:szCs w:val="20"/>
                <w:color w:val="auto"/>
              </w:rPr>
            </w:pPr>
          </w:p>
        </w:tc>
        <w:tc>
          <w:tcPr>
            <w:tcW w:w="1240" w:type="dxa"/>
            <w:vAlign w:val="bottom"/>
            <w:tcBorders>
              <w:bottom w:val="single" w:sz="8" w:color="005BA5"/>
            </w:tcBorders>
          </w:tcPr>
          <w:p>
            <w:pPr>
              <w:jc w:val="right"/>
              <w:ind w:right="139"/>
              <w:spacing w:after="0"/>
              <w:rPr>
                <w:sz w:val="20"/>
                <w:szCs w:val="20"/>
                <w:color w:val="auto"/>
              </w:rPr>
            </w:pPr>
            <w:r>
              <w:rPr>
                <w:rFonts w:ascii="Arial" w:cs="Arial" w:eastAsia="Arial" w:hAnsi="Arial"/>
                <w:sz w:val="16"/>
                <w:szCs w:val="16"/>
                <w:b w:val="1"/>
                <w:bCs w:val="1"/>
                <w:color w:val="auto"/>
                <w:w w:val="92"/>
              </w:rPr>
              <w:t>Gross amount</w:t>
            </w:r>
          </w:p>
        </w:tc>
        <w:tc>
          <w:tcPr>
            <w:tcW w:w="120" w:type="dxa"/>
            <w:vAlign w:val="bottom"/>
          </w:tcPr>
          <w:p>
            <w:pPr>
              <w:spacing w:after="0"/>
              <w:rPr>
                <w:sz w:val="20"/>
                <w:szCs w:val="20"/>
                <w:color w:val="auto"/>
              </w:rPr>
            </w:pPr>
          </w:p>
        </w:tc>
        <w:tc>
          <w:tcPr>
            <w:tcW w:w="140" w:type="dxa"/>
            <w:vAlign w:val="bottom"/>
            <w:tcBorders>
              <w:bottom w:val="single" w:sz="8" w:color="005BA5"/>
            </w:tcBorders>
          </w:tcPr>
          <w:p>
            <w:pPr>
              <w:spacing w:after="0"/>
              <w:rPr>
                <w:sz w:val="20"/>
                <w:szCs w:val="20"/>
                <w:color w:val="auto"/>
              </w:rPr>
            </w:pPr>
          </w:p>
        </w:tc>
        <w:tc>
          <w:tcPr>
            <w:tcW w:w="1240" w:type="dxa"/>
            <w:vAlign w:val="bottom"/>
            <w:tcBorders>
              <w:bottom w:val="single" w:sz="8" w:color="005BA5"/>
            </w:tcBorders>
          </w:tcPr>
          <w:p>
            <w:pPr>
              <w:jc w:val="right"/>
              <w:ind w:right="359"/>
              <w:spacing w:after="0"/>
              <w:rPr>
                <w:sz w:val="20"/>
                <w:szCs w:val="20"/>
                <w:color w:val="auto"/>
              </w:rPr>
            </w:pPr>
            <w:r>
              <w:rPr>
                <w:rFonts w:ascii="Arial" w:cs="Arial" w:eastAsia="Arial" w:hAnsi="Arial"/>
                <w:sz w:val="16"/>
                <w:szCs w:val="16"/>
                <w:b w:val="1"/>
                <w:bCs w:val="1"/>
                <w:color w:val="auto"/>
              </w:rPr>
              <w:t>netting</w:t>
            </w:r>
          </w:p>
        </w:tc>
        <w:tc>
          <w:tcPr>
            <w:tcW w:w="120" w:type="dxa"/>
            <w:vAlign w:val="bottom"/>
          </w:tcPr>
          <w:p>
            <w:pPr>
              <w:spacing w:after="0"/>
              <w:rPr>
                <w:sz w:val="20"/>
                <w:szCs w:val="20"/>
                <w:color w:val="auto"/>
              </w:rPr>
            </w:pPr>
          </w:p>
        </w:tc>
        <w:tc>
          <w:tcPr>
            <w:tcW w:w="1380" w:type="dxa"/>
            <w:vAlign w:val="bottom"/>
            <w:tcBorders>
              <w:bottom w:val="single" w:sz="8" w:color="005BA5"/>
            </w:tcBorders>
            <w:gridSpan w:val="2"/>
          </w:tcPr>
          <w:p>
            <w:pPr>
              <w:jc w:val="center"/>
              <w:spacing w:after="0"/>
              <w:rPr>
                <w:sz w:val="20"/>
                <w:szCs w:val="20"/>
                <w:color w:val="auto"/>
              </w:rPr>
            </w:pPr>
            <w:r>
              <w:rPr>
                <w:rFonts w:ascii="Arial" w:cs="Arial" w:eastAsia="Arial" w:hAnsi="Arial"/>
                <w:sz w:val="16"/>
                <w:szCs w:val="16"/>
                <w:b w:val="1"/>
                <w:bCs w:val="1"/>
                <w:color w:val="auto"/>
                <w:w w:val="89"/>
              </w:rPr>
              <w:t>(received) pledged</w:t>
            </w:r>
          </w:p>
        </w:tc>
        <w:tc>
          <w:tcPr>
            <w:tcW w:w="120" w:type="dxa"/>
            <w:vAlign w:val="bottom"/>
          </w:tcPr>
          <w:p>
            <w:pPr>
              <w:spacing w:after="0"/>
              <w:rPr>
                <w:sz w:val="20"/>
                <w:szCs w:val="20"/>
                <w:color w:val="auto"/>
              </w:rPr>
            </w:pPr>
          </w:p>
        </w:tc>
        <w:tc>
          <w:tcPr>
            <w:tcW w:w="120" w:type="dxa"/>
            <w:vAlign w:val="bottom"/>
            <w:tcBorders>
              <w:bottom w:val="single" w:sz="8" w:color="005BA5"/>
            </w:tcBorders>
          </w:tcPr>
          <w:p>
            <w:pPr>
              <w:spacing w:after="0"/>
              <w:rPr>
                <w:sz w:val="20"/>
                <w:szCs w:val="20"/>
                <w:color w:val="auto"/>
              </w:rPr>
            </w:pPr>
          </w:p>
        </w:tc>
        <w:tc>
          <w:tcPr>
            <w:tcW w:w="1220" w:type="dxa"/>
            <w:vAlign w:val="bottom"/>
            <w:tcBorders>
              <w:bottom w:val="single" w:sz="8" w:color="005BA5"/>
            </w:tcBorders>
          </w:tcPr>
          <w:p>
            <w:pPr>
              <w:jc w:val="right"/>
              <w:ind w:right="139"/>
              <w:spacing w:after="0"/>
              <w:rPr>
                <w:sz w:val="20"/>
                <w:szCs w:val="20"/>
                <w:color w:val="auto"/>
              </w:rPr>
            </w:pPr>
            <w:r>
              <w:rPr>
                <w:rFonts w:ascii="Arial" w:cs="Arial" w:eastAsia="Arial" w:hAnsi="Arial"/>
                <w:sz w:val="16"/>
                <w:szCs w:val="16"/>
                <w:b w:val="1"/>
                <w:bCs w:val="1"/>
                <w:color w:val="auto"/>
                <w:w w:val="92"/>
              </w:rPr>
              <w:t>balance sheet</w:t>
            </w:r>
          </w:p>
        </w:tc>
        <w:tc>
          <w:tcPr>
            <w:tcW w:w="120" w:type="dxa"/>
            <w:vAlign w:val="bottom"/>
          </w:tcPr>
          <w:p>
            <w:pPr>
              <w:spacing w:after="0"/>
              <w:rPr>
                <w:sz w:val="20"/>
                <w:szCs w:val="20"/>
                <w:color w:val="auto"/>
              </w:rPr>
            </w:pPr>
          </w:p>
        </w:tc>
        <w:tc>
          <w:tcPr>
            <w:tcW w:w="1340" w:type="dxa"/>
            <w:vAlign w:val="bottom"/>
            <w:tcBorders>
              <w:bottom w:val="single" w:sz="8" w:color="005BA5"/>
            </w:tcBorders>
            <w:gridSpan w:val="2"/>
          </w:tcPr>
          <w:p>
            <w:pPr>
              <w:ind w:left="40"/>
              <w:spacing w:after="0"/>
              <w:rPr>
                <w:sz w:val="20"/>
                <w:szCs w:val="20"/>
                <w:color w:val="auto"/>
              </w:rPr>
            </w:pPr>
            <w:r>
              <w:rPr>
                <w:rFonts w:ascii="Arial" w:cs="Arial" w:eastAsia="Arial" w:hAnsi="Arial"/>
                <w:sz w:val="16"/>
                <w:szCs w:val="16"/>
                <w:b w:val="1"/>
                <w:bCs w:val="1"/>
                <w:color w:val="auto"/>
                <w:w w:val="90"/>
              </w:rPr>
              <w:t>(received) pledged</w:t>
            </w:r>
          </w:p>
        </w:tc>
        <w:tc>
          <w:tcPr>
            <w:tcW w:w="100" w:type="dxa"/>
            <w:vAlign w:val="bottom"/>
          </w:tcPr>
          <w:p>
            <w:pPr>
              <w:spacing w:after="0"/>
              <w:rPr>
                <w:sz w:val="20"/>
                <w:szCs w:val="20"/>
                <w:color w:val="auto"/>
              </w:rPr>
            </w:pPr>
          </w:p>
        </w:tc>
        <w:tc>
          <w:tcPr>
            <w:tcW w:w="200" w:type="dxa"/>
            <w:vAlign w:val="bottom"/>
            <w:tcBorders>
              <w:bottom w:val="single" w:sz="8" w:color="005BA5"/>
            </w:tcBorders>
          </w:tcPr>
          <w:p>
            <w:pPr>
              <w:spacing w:after="0"/>
              <w:rPr>
                <w:sz w:val="20"/>
                <w:szCs w:val="20"/>
                <w:color w:val="auto"/>
              </w:rPr>
            </w:pPr>
          </w:p>
        </w:tc>
        <w:tc>
          <w:tcPr>
            <w:tcW w:w="1160" w:type="dxa"/>
            <w:vAlign w:val="bottom"/>
            <w:tcBorders>
              <w:bottom w:val="single" w:sz="8" w:color="005BA5"/>
            </w:tcBorders>
          </w:tcPr>
          <w:p>
            <w:pPr>
              <w:jc w:val="right"/>
              <w:ind w:right="179"/>
              <w:spacing w:after="0"/>
              <w:rPr>
                <w:sz w:val="20"/>
                <w:szCs w:val="20"/>
                <w:color w:val="auto"/>
              </w:rPr>
            </w:pPr>
            <w:r>
              <w:rPr>
                <w:rFonts w:ascii="Arial" w:cs="Arial" w:eastAsia="Arial" w:hAnsi="Arial"/>
                <w:sz w:val="16"/>
                <w:szCs w:val="16"/>
                <w:b w:val="1"/>
                <w:bCs w:val="1"/>
                <w:color w:val="auto"/>
                <w:w w:val="99"/>
              </w:rPr>
              <w:t>Net amount</w:t>
            </w:r>
          </w:p>
        </w:tc>
      </w:tr>
      <w:tr>
        <w:trPr>
          <w:trHeight w:val="223"/>
        </w:trPr>
        <w:tc>
          <w:tcPr>
            <w:tcW w:w="26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March 31, 2019</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33"/>
        </w:trPr>
        <w:tc>
          <w:tcPr>
            <w:tcW w:w="25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Asset derivatives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25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Liability derivatives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2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4"/>
        </w:trPr>
        <w:tc>
          <w:tcPr>
            <w:tcW w:w="252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CACAC"/>
              <w:bottom w:val="single" w:sz="8" w:color="ACACAC"/>
            </w:tcBorders>
          </w:tcPr>
          <w:p>
            <w:pPr>
              <w:spacing w:after="0"/>
              <w:rPr>
                <w:sz w:val="22"/>
                <w:szCs w:val="22"/>
                <w:color w:val="auto"/>
              </w:rPr>
            </w:pPr>
          </w:p>
        </w:tc>
        <w:tc>
          <w:tcPr>
            <w:tcW w:w="124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CACAC"/>
              <w:bottom w:val="single" w:sz="8" w:color="ACACAC"/>
            </w:tcBorders>
          </w:tcPr>
          <w:p>
            <w:pPr>
              <w:spacing w:after="0"/>
              <w:rPr>
                <w:sz w:val="22"/>
                <w:szCs w:val="22"/>
                <w:color w:val="auto"/>
              </w:rPr>
            </w:pPr>
          </w:p>
        </w:tc>
        <w:tc>
          <w:tcPr>
            <w:tcW w:w="124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CACAC"/>
              <w:bottom w:val="single" w:sz="8" w:color="ACACAC"/>
            </w:tcBorders>
          </w:tcPr>
          <w:p>
            <w:pPr>
              <w:spacing w:after="0"/>
              <w:rPr>
                <w:sz w:val="22"/>
                <w:szCs w:val="22"/>
                <w:color w:val="auto"/>
              </w:rPr>
            </w:pPr>
          </w:p>
        </w:tc>
        <w:tc>
          <w:tcPr>
            <w:tcW w:w="124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CACAC"/>
              <w:bottom w:val="single" w:sz="8" w:color="ACACAC"/>
            </w:tcBorders>
          </w:tcPr>
          <w:p>
            <w:pPr>
              <w:spacing w:after="0"/>
              <w:rPr>
                <w:sz w:val="22"/>
                <w:szCs w:val="22"/>
                <w:color w:val="auto"/>
              </w:rPr>
            </w:pPr>
          </w:p>
        </w:tc>
        <w:tc>
          <w:tcPr>
            <w:tcW w:w="122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CACAC"/>
              <w:bottom w:val="single" w:sz="8" w:color="ACACAC"/>
            </w:tcBorders>
          </w:tcPr>
          <w:p>
            <w:pPr>
              <w:spacing w:after="0"/>
              <w:rPr>
                <w:sz w:val="22"/>
                <w:szCs w:val="22"/>
                <w:color w:val="auto"/>
              </w:rPr>
            </w:pPr>
          </w:p>
        </w:tc>
        <w:tc>
          <w:tcPr>
            <w:tcW w:w="112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CACAC"/>
              <w:bottom w:val="single" w:sz="8" w:color="ACACAC"/>
            </w:tcBorders>
          </w:tcPr>
          <w:p>
            <w:pPr>
              <w:spacing w:after="0"/>
              <w:rPr>
                <w:sz w:val="22"/>
                <w:szCs w:val="22"/>
                <w:color w:val="auto"/>
              </w:rPr>
            </w:pPr>
          </w:p>
        </w:tc>
        <w:tc>
          <w:tcPr>
            <w:tcW w:w="1160" w:type="dxa"/>
            <w:vAlign w:val="bottom"/>
            <w:tcBorders>
              <w:top w:val="single" w:sz="8" w:color="ACACAC"/>
              <w:bottom w:val="single" w:sz="8" w:color="ACACAC"/>
            </w:tcBorders>
          </w:tcPr>
          <w:p>
            <w:pPr>
              <w:spacing w:after="0"/>
              <w:rPr>
                <w:sz w:val="22"/>
                <w:szCs w:val="22"/>
                <w:color w:val="auto"/>
              </w:rPr>
            </w:pPr>
          </w:p>
        </w:tc>
      </w:tr>
      <w:tr>
        <w:trPr>
          <w:trHeight w:val="217"/>
        </w:trPr>
        <w:tc>
          <w:tcPr>
            <w:tcW w:w="264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December 31, 2018</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25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Asset derivatives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25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2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Liability derivatives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25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2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2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11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bl>
    <w:p>
      <w:pPr>
        <w:spacing w:after="0" w:line="183" w:lineRule="exact"/>
        <w:rPr>
          <w:sz w:val="20"/>
          <w:szCs w:val="20"/>
          <w:color w:val="auto"/>
        </w:rPr>
      </w:pPr>
    </w:p>
    <w:p>
      <w:pPr>
        <w:ind w:left="280" w:hanging="191"/>
        <w:spacing w:after="0"/>
        <w:tabs>
          <w:tab w:leader="none" w:pos="280" w:val="left"/>
        </w:tabs>
        <w:numPr>
          <w:ilvl w:val="0"/>
          <w:numId w:val="20"/>
        </w:numPr>
        <w:rPr>
          <w:rFonts w:ascii="Arial" w:cs="Arial" w:eastAsia="Arial" w:hAnsi="Arial"/>
          <w:sz w:val="23"/>
          <w:szCs w:val="23"/>
          <w:color w:val="005BA5"/>
          <w:vertAlign w:val="superscript"/>
        </w:rPr>
      </w:pPr>
      <w:r>
        <w:rPr>
          <w:rFonts w:ascii="Arial" w:cs="Arial" w:eastAsia="Arial" w:hAnsi="Arial"/>
          <w:sz w:val="14"/>
          <w:szCs w:val="14"/>
          <w:color w:val="auto"/>
        </w:rPr>
        <w:t>All OTC derivatives are subject to enforceable master netting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Gains (losses) from valuation and settlements reported on derivatives not designated as accounting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Realized capital</w:t>
            </w:r>
          </w:p>
        </w:tc>
        <w:tc>
          <w:tcPr>
            <w:tcW w:w="140" w:type="dxa"/>
            <w:vAlign w:val="bottom"/>
          </w:tcPr>
          <w:p>
            <w:pPr>
              <w:spacing w:after="0"/>
              <w:rPr>
                <w:sz w:val="14"/>
                <w:szCs w:val="14"/>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Life contract</w:t>
            </w:r>
          </w:p>
        </w:tc>
        <w:tc>
          <w:tcPr>
            <w:tcW w:w="14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Interest credited to</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Operating costs</w:t>
            </w:r>
          </w:p>
        </w:tc>
        <w:tc>
          <w:tcPr>
            <w:tcW w:w="160" w:type="dxa"/>
            <w:vAlign w:val="bottom"/>
          </w:tcPr>
          <w:p>
            <w:pPr>
              <w:spacing w:after="0"/>
              <w:rPr>
                <w:sz w:val="14"/>
                <w:szCs w:val="14"/>
                <w:color w:val="auto"/>
              </w:rPr>
            </w:pPr>
          </w:p>
        </w:tc>
        <w:tc>
          <w:tcPr>
            <w:tcW w:w="130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Total gain (loss)</w:t>
            </w:r>
          </w:p>
        </w:tc>
        <w:tc>
          <w:tcPr>
            <w:tcW w:w="0" w:type="dxa"/>
            <w:vAlign w:val="bottom"/>
          </w:tcPr>
          <w:p>
            <w:pPr>
              <w:spacing w:after="0"/>
              <w:rPr>
                <w:sz w:val="1"/>
                <w:szCs w:val="1"/>
                <w:color w:val="auto"/>
              </w:rPr>
            </w:pPr>
          </w:p>
        </w:tc>
      </w:tr>
      <w:tr>
        <w:trPr>
          <w:trHeight w:val="149"/>
        </w:trPr>
        <w:tc>
          <w:tcPr>
            <w:tcW w:w="4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vMerge w:val="restart"/>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recognized in net</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005BA5"/>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005BA5"/>
            </w:tcBorders>
          </w:tcPr>
          <w:p>
            <w:pPr>
              <w:spacing w:after="0"/>
              <w:rPr>
                <w:sz w:val="16"/>
                <w:szCs w:val="16"/>
                <w:color w:val="auto"/>
              </w:rPr>
            </w:pPr>
          </w:p>
        </w:tc>
        <w:tc>
          <w:tcPr>
            <w:tcW w:w="1000" w:type="dxa"/>
            <w:vAlign w:val="bottom"/>
            <w:tcBorders>
              <w:bottom w:val="single" w:sz="8" w:color="005BA5"/>
            </w:tcBorders>
          </w:tcPr>
          <w:p>
            <w:pPr>
              <w:jc w:val="right"/>
              <w:ind w:right="100"/>
              <w:spacing w:after="0"/>
              <w:rPr>
                <w:sz w:val="20"/>
                <w:szCs w:val="20"/>
                <w:color w:val="auto"/>
              </w:rPr>
            </w:pPr>
            <w:r>
              <w:rPr>
                <w:rFonts w:ascii="Arial" w:cs="Arial" w:eastAsia="Arial" w:hAnsi="Arial"/>
                <w:sz w:val="14"/>
                <w:szCs w:val="14"/>
                <w:b w:val="1"/>
                <w:bCs w:val="1"/>
                <w:color w:val="auto"/>
                <w:w w:val="85"/>
              </w:rPr>
              <w:t>gains (losses)</w:t>
            </w:r>
          </w:p>
        </w:tc>
        <w:tc>
          <w:tcPr>
            <w:tcW w:w="140" w:type="dxa"/>
            <w:vAlign w:val="bottom"/>
          </w:tcPr>
          <w:p>
            <w:pPr>
              <w:spacing w:after="0"/>
              <w:rPr>
                <w:sz w:val="16"/>
                <w:szCs w:val="16"/>
                <w:color w:val="auto"/>
              </w:rPr>
            </w:pPr>
          </w:p>
        </w:tc>
        <w:tc>
          <w:tcPr>
            <w:tcW w:w="140" w:type="dxa"/>
            <w:vAlign w:val="bottom"/>
            <w:tcBorders>
              <w:bottom w:val="single" w:sz="8" w:color="005BA5"/>
            </w:tcBorders>
          </w:tcPr>
          <w:p>
            <w:pPr>
              <w:spacing w:after="0"/>
              <w:rPr>
                <w:sz w:val="16"/>
                <w:szCs w:val="16"/>
                <w:color w:val="auto"/>
              </w:rPr>
            </w:pPr>
          </w:p>
        </w:tc>
        <w:tc>
          <w:tcPr>
            <w:tcW w:w="1020" w:type="dxa"/>
            <w:vAlign w:val="bottom"/>
            <w:tcBorders>
              <w:bottom w:val="single" w:sz="8" w:color="005BA5"/>
            </w:tcBorders>
          </w:tcPr>
          <w:p>
            <w:pPr>
              <w:jc w:val="right"/>
              <w:ind w:right="260"/>
              <w:spacing w:after="0"/>
              <w:rPr>
                <w:sz w:val="20"/>
                <w:szCs w:val="20"/>
                <w:color w:val="auto"/>
              </w:rPr>
            </w:pPr>
            <w:r>
              <w:rPr>
                <w:rFonts w:ascii="Arial" w:cs="Arial" w:eastAsia="Arial" w:hAnsi="Arial"/>
                <w:sz w:val="14"/>
                <w:szCs w:val="14"/>
                <w:b w:val="1"/>
                <w:bCs w:val="1"/>
                <w:color w:val="auto"/>
              </w:rPr>
              <w:t>benefits</w:t>
            </w:r>
          </w:p>
        </w:tc>
        <w:tc>
          <w:tcPr>
            <w:tcW w:w="120" w:type="dxa"/>
            <w:vAlign w:val="bottom"/>
          </w:tcPr>
          <w:p>
            <w:pPr>
              <w:spacing w:after="0"/>
              <w:rPr>
                <w:sz w:val="16"/>
                <w:szCs w:val="16"/>
                <w:color w:val="auto"/>
              </w:rPr>
            </w:pPr>
          </w:p>
        </w:tc>
        <w:tc>
          <w:tcPr>
            <w:tcW w:w="1340" w:type="dxa"/>
            <w:vAlign w:val="bottom"/>
            <w:tcBorders>
              <w:bottom w:val="single" w:sz="8" w:color="005BA5"/>
            </w:tcBorders>
            <w:gridSpan w:val="2"/>
          </w:tcPr>
          <w:p>
            <w:pPr>
              <w:ind w:left="20"/>
              <w:spacing w:after="0"/>
              <w:rPr>
                <w:sz w:val="20"/>
                <w:szCs w:val="20"/>
                <w:color w:val="auto"/>
              </w:rPr>
            </w:pPr>
            <w:r>
              <w:rPr>
                <w:rFonts w:ascii="Arial" w:cs="Arial" w:eastAsia="Arial" w:hAnsi="Arial"/>
                <w:sz w:val="14"/>
                <w:szCs w:val="14"/>
                <w:b w:val="1"/>
                <w:bCs w:val="1"/>
                <w:color w:val="auto"/>
                <w:w w:val="92"/>
              </w:rPr>
              <w:t>contractholder funds</w:t>
            </w:r>
          </w:p>
        </w:tc>
        <w:tc>
          <w:tcPr>
            <w:tcW w:w="120" w:type="dxa"/>
            <w:vAlign w:val="bottom"/>
          </w:tcPr>
          <w:p>
            <w:pPr>
              <w:spacing w:after="0"/>
              <w:rPr>
                <w:sz w:val="16"/>
                <w:szCs w:val="16"/>
                <w:color w:val="auto"/>
              </w:rPr>
            </w:pPr>
          </w:p>
        </w:tc>
        <w:tc>
          <w:tcPr>
            <w:tcW w:w="120" w:type="dxa"/>
            <w:vAlign w:val="bottom"/>
            <w:tcBorders>
              <w:bottom w:val="single" w:sz="8" w:color="005BA5"/>
            </w:tcBorders>
          </w:tcPr>
          <w:p>
            <w:pPr>
              <w:spacing w:after="0"/>
              <w:rPr>
                <w:sz w:val="16"/>
                <w:szCs w:val="16"/>
                <w:color w:val="auto"/>
              </w:rPr>
            </w:pPr>
          </w:p>
        </w:tc>
        <w:tc>
          <w:tcPr>
            <w:tcW w:w="1000" w:type="dxa"/>
            <w:vAlign w:val="bottom"/>
            <w:tcBorders>
              <w:bottom w:val="single" w:sz="8" w:color="005BA5"/>
            </w:tcBorders>
          </w:tcPr>
          <w:p>
            <w:pPr>
              <w:jc w:val="right"/>
              <w:ind w:right="80"/>
              <w:spacing w:after="0"/>
              <w:rPr>
                <w:sz w:val="20"/>
                <w:szCs w:val="20"/>
                <w:color w:val="auto"/>
              </w:rPr>
            </w:pPr>
            <w:r>
              <w:rPr>
                <w:rFonts w:ascii="Arial" w:cs="Arial" w:eastAsia="Arial" w:hAnsi="Arial"/>
                <w:sz w:val="14"/>
                <w:szCs w:val="14"/>
                <w:b w:val="1"/>
                <w:bCs w:val="1"/>
                <w:color w:val="auto"/>
                <w:w w:val="88"/>
              </w:rPr>
              <w:t>and expenses</w:t>
            </w:r>
          </w:p>
        </w:tc>
        <w:tc>
          <w:tcPr>
            <w:tcW w:w="100" w:type="dxa"/>
            <w:vAlign w:val="bottom"/>
          </w:tcPr>
          <w:p>
            <w:pPr>
              <w:spacing w:after="0"/>
              <w:rPr>
                <w:sz w:val="16"/>
                <w:szCs w:val="16"/>
                <w:color w:val="auto"/>
              </w:rPr>
            </w:pPr>
          </w:p>
        </w:tc>
        <w:tc>
          <w:tcPr>
            <w:tcW w:w="1460" w:type="dxa"/>
            <w:vAlign w:val="bottom"/>
            <w:tcBorders>
              <w:bottom w:val="single" w:sz="8" w:color="005BA5"/>
            </w:tcBorders>
            <w:gridSpan w:val="2"/>
          </w:tcPr>
          <w:p>
            <w:pPr>
              <w:jc w:val="center"/>
              <w:spacing w:after="0"/>
              <w:rPr>
                <w:sz w:val="20"/>
                <w:szCs w:val="20"/>
                <w:color w:val="auto"/>
              </w:rPr>
            </w:pPr>
            <w:r>
              <w:rPr>
                <w:rFonts w:ascii="Arial" w:cs="Arial" w:eastAsia="Arial" w:hAnsi="Arial"/>
                <w:sz w:val="14"/>
                <w:szCs w:val="14"/>
                <w:b w:val="1"/>
                <w:bCs w:val="1"/>
                <w:color w:val="auto"/>
                <w:w w:val="91"/>
              </w:rPr>
              <w:t>income on derivatives</w:t>
            </w:r>
          </w:p>
        </w:tc>
        <w:tc>
          <w:tcPr>
            <w:tcW w:w="0" w:type="dxa"/>
            <w:vAlign w:val="bottom"/>
          </w:tcPr>
          <w:p>
            <w:pPr>
              <w:spacing w:after="0"/>
              <w:rPr>
                <w:sz w:val="1"/>
                <w:szCs w:val="1"/>
                <w:color w:val="auto"/>
              </w:rPr>
            </w:pPr>
          </w:p>
        </w:tc>
      </w:tr>
      <w:tr>
        <w:trPr>
          <w:trHeight w:val="223"/>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March 31, 2019</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 rate contracts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Equity and index contracts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Embedded derivative financial instruments</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Foreign currency contracts</w:t>
            </w:r>
          </w:p>
        </w:tc>
        <w:tc>
          <w:tcPr>
            <w:tcW w:w="16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Credit default contracts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Total return swaps - fixed income</w:t>
            </w:r>
          </w:p>
        </w:tc>
        <w:tc>
          <w:tcPr>
            <w:tcW w:w="16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Total return swaps - equity</w:t>
            </w:r>
          </w:p>
        </w:tc>
        <w:tc>
          <w:tcPr>
            <w:tcW w:w="16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0"/>
              <w:spacing w:after="0"/>
              <w:rPr>
                <w:sz w:val="20"/>
                <w:szCs w:val="20"/>
                <w:color w:val="auto"/>
              </w:rPr>
            </w:pPr>
            <w:r>
              <w:rPr>
                <w:rFonts w:ascii="Arial" w:cs="Arial" w:eastAsia="Arial" w:hAnsi="Arial"/>
                <w:sz w:val="16"/>
                <w:szCs w:val="16"/>
                <w:b w:val="1"/>
                <w:bCs w:val="1"/>
                <w:color w:val="auto"/>
              </w:rPr>
              <w:t>21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33"/>
        </w:trPr>
        <w:tc>
          <w:tcPr>
            <w:tcW w:w="47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top w:val="single" w:sz="8" w:color="005BA5"/>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005BA5"/>
              <w:bottom w:val="single" w:sz="8" w:color="ACACAC"/>
            </w:tcBorders>
          </w:tcPr>
          <w:p>
            <w:pPr>
              <w:spacing w:after="0"/>
              <w:rPr>
                <w:sz w:val="22"/>
                <w:szCs w:val="22"/>
                <w:color w:val="auto"/>
              </w:rPr>
            </w:pPr>
          </w:p>
        </w:tc>
        <w:tc>
          <w:tcPr>
            <w:tcW w:w="1000" w:type="dxa"/>
            <w:vAlign w:val="bottom"/>
            <w:tcBorders>
              <w:top w:val="single" w:sz="8" w:color="005BA5"/>
              <w:bottom w:val="single" w:sz="8" w:color="ACACAC"/>
            </w:tcBorders>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005BA5"/>
              <w:bottom w:val="single" w:sz="8" w:color="ACACAC"/>
            </w:tcBorders>
          </w:tcPr>
          <w:p>
            <w:pPr>
              <w:spacing w:after="0"/>
              <w:rPr>
                <w:sz w:val="22"/>
                <w:szCs w:val="22"/>
                <w:color w:val="auto"/>
              </w:rPr>
            </w:pPr>
          </w:p>
        </w:tc>
        <w:tc>
          <w:tcPr>
            <w:tcW w:w="1020" w:type="dxa"/>
            <w:vAlign w:val="bottom"/>
            <w:tcBorders>
              <w:top w:val="single" w:sz="8" w:color="005BA5"/>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005BA5"/>
              <w:bottom w:val="single" w:sz="8" w:color="ACACAC"/>
            </w:tcBorders>
          </w:tcPr>
          <w:p>
            <w:pPr>
              <w:spacing w:after="0"/>
              <w:rPr>
                <w:sz w:val="22"/>
                <w:szCs w:val="22"/>
                <w:color w:val="auto"/>
              </w:rPr>
            </w:pPr>
          </w:p>
        </w:tc>
        <w:tc>
          <w:tcPr>
            <w:tcW w:w="780" w:type="dxa"/>
            <w:vAlign w:val="bottom"/>
            <w:tcBorders>
              <w:top w:val="single" w:sz="8" w:color="005BA5"/>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005BA5"/>
              <w:bottom w:val="single" w:sz="8" w:color="ACACAC"/>
            </w:tcBorders>
          </w:tcPr>
          <w:p>
            <w:pPr>
              <w:spacing w:after="0"/>
              <w:rPr>
                <w:sz w:val="22"/>
                <w:szCs w:val="22"/>
                <w:color w:val="auto"/>
              </w:rPr>
            </w:pPr>
          </w:p>
        </w:tc>
        <w:tc>
          <w:tcPr>
            <w:tcW w:w="1000" w:type="dxa"/>
            <w:vAlign w:val="bottom"/>
            <w:tcBorders>
              <w:top w:val="single" w:sz="8" w:color="005BA5"/>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005BA5"/>
              <w:bottom w:val="single" w:sz="8" w:color="ACACAC"/>
            </w:tcBorders>
          </w:tcPr>
          <w:p>
            <w:pPr>
              <w:spacing w:after="0"/>
              <w:rPr>
                <w:sz w:val="22"/>
                <w:szCs w:val="22"/>
                <w:color w:val="auto"/>
              </w:rPr>
            </w:pPr>
          </w:p>
        </w:tc>
        <w:tc>
          <w:tcPr>
            <w:tcW w:w="1300" w:type="dxa"/>
            <w:vAlign w:val="bottom"/>
            <w:tcBorders>
              <w:top w:val="single" w:sz="8" w:color="005BA5"/>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March 31, 2018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Equity and index contracts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Embedded derivative financial instruments</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Foreign currency contracts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30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Credit default contracts</w:t>
            </w:r>
          </w:p>
        </w:tc>
        <w:tc>
          <w:tcPr>
            <w:tcW w:w="160" w:type="dxa"/>
            <w:vAlign w:val="bottom"/>
          </w:tcPr>
          <w:p>
            <w:pPr>
              <w:spacing w:after="0"/>
              <w:rPr>
                <w:sz w:val="18"/>
                <w:szCs w:val="18"/>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7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Pr>
          <w:p>
            <w:pPr>
              <w:jc w:val="right"/>
              <w:ind w:right="20"/>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7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30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126"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The Company manages its exposure to credit risk by utilizing highly rated counterparties, establishing risk control limits, executing legally enforceable master netting agreements (“MNAs”) and obtaining collateral where appropriate. The Company uses MNAs for OTC derivative transactions that permit either party to net payments due for transactions and collateral is either pledged or obtained when certain predetermined exposure limits are exceeded. As of March 31, 2019, counterparties pledged $21 million in collateral to the Company, and the Company pledged $1 million in collateral to counterparties under MNAs for contracts containing credit-risk-contingent provisions that are in a liability position. The Company has not incurred any losses on derivative financial instruments due to counterparty nonperformance. Other derivatives, including futures and certain option contracts, are traded on organized exchanges which require margin</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deposits and guarantee the execution of trades, thereby mitigating any potential credit risk.</w:t>
      </w:r>
    </w:p>
    <w:p>
      <w:pPr>
        <w:spacing w:after="0" w:line="88" w:lineRule="exact"/>
        <w:rPr>
          <w:sz w:val="20"/>
          <w:szCs w:val="20"/>
          <w:color w:val="auto"/>
        </w:rPr>
      </w:pPr>
    </w:p>
    <w:p>
      <w:pPr>
        <w:ind w:right="20" w:firstLine="324"/>
        <w:spacing w:after="0" w:line="249" w:lineRule="auto"/>
        <w:rPr>
          <w:sz w:val="20"/>
          <w:szCs w:val="20"/>
          <w:color w:val="auto"/>
        </w:rPr>
      </w:pPr>
      <w:r>
        <w:rPr>
          <w:rFonts w:ascii="Arial" w:cs="Arial" w:eastAsia="Arial" w:hAnsi="Arial"/>
          <w:sz w:val="16"/>
          <w:szCs w:val="16"/>
          <w:color w:val="auto"/>
        </w:rPr>
        <w:t>Counterparty credit exposure represents the Company’s potential loss if all of the counterparties concurrently fail to perform under the contractual terms of the contracts and all collateral, if any, becomes worthless. This exposure is measured by the fair value of OTC derivative contracts with a positive fair value at the reporting date reduced by the effect, if any, of legally enforceable master netting agreements.</w:t>
      </w:r>
    </w:p>
    <w:p>
      <w:pPr>
        <w:spacing w:after="0" w:line="97" w:lineRule="exact"/>
        <w:rPr>
          <w:sz w:val="20"/>
          <w:szCs w:val="20"/>
          <w:color w:val="auto"/>
        </w:rPr>
      </w:pPr>
    </w:p>
    <w:p>
      <w:pPr>
        <w:ind w:right="180" w:firstLine="324"/>
        <w:spacing w:after="0" w:line="251" w:lineRule="auto"/>
        <w:rPr>
          <w:sz w:val="20"/>
          <w:szCs w:val="20"/>
          <w:color w:val="auto"/>
        </w:rPr>
      </w:pPr>
      <w:r>
        <w:rPr>
          <w:rFonts w:ascii="Arial" w:cs="Arial" w:eastAsia="Arial" w:hAnsi="Arial"/>
          <w:sz w:val="16"/>
          <w:szCs w:val="16"/>
          <w:color w:val="auto"/>
        </w:rPr>
        <w:t>For certain exchange traded and cleared derivatives, margin deposits are required as well as daily cash settlements of margin accounts. As of March 31, 2019, the Company pledged $136 million in the form of margin deposits.</w:t>
      </w:r>
    </w:p>
    <w:p>
      <w:pPr>
        <w:spacing w:after="0" w:line="200"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298"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34 </w:t>
      </w:r>
      <w:r>
        <w:rPr>
          <w:sz w:val="1"/>
          <w:szCs w:val="1"/>
          <w:color w:val="auto"/>
        </w:rPr>
        <w:drawing>
          <wp:inline distT="0" distB="0" distL="0" distR="0">
            <wp:extent cx="111760" cy="1117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38" w:name="page39"/>
    <w:bookmarkEnd w:id="38"/>
    <w:p>
      <w:pPr>
        <w:ind w:left="740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OTC derivatives counterparty credit exposure by counterparty credit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jc w:val="center"/>
              <w:ind w:left="168"/>
              <w:spacing w:after="0" w:line="153" w:lineRule="exact"/>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Notional</w:t>
            </w:r>
          </w:p>
        </w:tc>
        <w:tc>
          <w:tcPr>
            <w:tcW w:w="160" w:type="dxa"/>
            <w:vAlign w:val="bottom"/>
          </w:tcPr>
          <w:p>
            <w:pPr>
              <w:spacing w:after="0"/>
              <w:rPr>
                <w:sz w:val="13"/>
                <w:szCs w:val="13"/>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Credit</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Exposure, net of</w:t>
            </w:r>
          </w:p>
        </w:tc>
        <w:tc>
          <w:tcPr>
            <w:tcW w:w="12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Notional</w:t>
            </w:r>
          </w:p>
        </w:tc>
        <w:tc>
          <w:tcPr>
            <w:tcW w:w="140" w:type="dxa"/>
            <w:vAlign w:val="bottom"/>
          </w:tcPr>
          <w:p>
            <w:pPr>
              <w:spacing w:after="0"/>
              <w:rPr>
                <w:sz w:val="13"/>
                <w:szCs w:val="13"/>
                <w:color w:val="auto"/>
              </w:rPr>
            </w:pP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Credit</w:t>
            </w: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Exposure, net of</w:t>
            </w:r>
          </w:p>
        </w:tc>
        <w:tc>
          <w:tcPr>
            <w:tcW w:w="0" w:type="dxa"/>
            <w:vAlign w:val="bottom"/>
          </w:tcPr>
          <w:p>
            <w:pPr>
              <w:spacing w:after="0"/>
              <w:rPr>
                <w:sz w:val="1"/>
                <w:szCs w:val="1"/>
                <w:color w:val="auto"/>
              </w:rPr>
            </w:pPr>
          </w:p>
        </w:tc>
      </w:tr>
      <w:tr>
        <w:trPr>
          <w:trHeight w:val="149"/>
        </w:trPr>
        <w:tc>
          <w:tcPr>
            <w:tcW w:w="13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Rating </w:t>
            </w:r>
            <w:r>
              <w:rPr>
                <w:rFonts w:ascii="Arial" w:cs="Arial" w:eastAsia="Arial" w:hAnsi="Arial"/>
                <w:sz w:val="11"/>
                <w:szCs w:val="11"/>
                <w:color w:val="005BA5"/>
              </w:rPr>
              <w:t>(1)</w:t>
            </w:r>
          </w:p>
        </w:tc>
        <w:tc>
          <w:tcPr>
            <w:tcW w:w="120" w:type="dxa"/>
            <w:vAlign w:val="bottom"/>
            <w:vMerge w:val="restart"/>
          </w:tcPr>
          <w:p>
            <w:pPr>
              <w:spacing w:after="0"/>
              <w:rPr>
                <w:sz w:val="12"/>
                <w:szCs w:val="12"/>
                <w:color w:val="auto"/>
              </w:rPr>
            </w:pPr>
          </w:p>
        </w:tc>
        <w:tc>
          <w:tcPr>
            <w:tcW w:w="94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89"/>
              </w:rPr>
              <w:t>counter-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counter-</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80" w:type="dxa"/>
            <w:vAlign w:val="bottom"/>
            <w:tcBorders>
              <w:bottom w:val="single" w:sz="8" w:color="ACACAC"/>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40" w:type="dxa"/>
            <w:vAlign w:val="bottom"/>
            <w:tcBorders>
              <w:bottom w:val="single" w:sz="8" w:color="ACACAC"/>
            </w:tcBorders>
          </w:tcPr>
          <w:p>
            <w:pPr>
              <w:jc w:val="center"/>
              <w:ind w:left="168"/>
              <w:spacing w:after="0"/>
              <w:rPr>
                <w:sz w:val="20"/>
                <w:szCs w:val="20"/>
                <w:color w:val="auto"/>
              </w:rPr>
            </w:pPr>
            <w:r>
              <w:rPr>
                <w:rFonts w:ascii="Arial" w:cs="Arial" w:eastAsia="Arial" w:hAnsi="Arial"/>
                <w:sz w:val="14"/>
                <w:szCs w:val="14"/>
                <w:b w:val="1"/>
                <w:bCs w:val="1"/>
                <w:color w:val="auto"/>
                <w:w w:val="91"/>
              </w:rPr>
              <w:t>parties</w:t>
            </w:r>
          </w:p>
        </w:tc>
        <w:tc>
          <w:tcPr>
            <w:tcW w:w="220" w:type="dxa"/>
            <w:vAlign w:val="bottom"/>
            <w:tcBorders>
              <w:bottom w:val="single" w:sz="8" w:color="ACACAC"/>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CACAC"/>
            </w:tcBorders>
          </w:tcPr>
          <w:p>
            <w:pPr>
              <w:spacing w:after="0"/>
              <w:rPr>
                <w:sz w:val="16"/>
                <w:szCs w:val="16"/>
                <w:color w:val="auto"/>
              </w:rPr>
            </w:pPr>
          </w:p>
        </w:tc>
        <w:tc>
          <w:tcPr>
            <w:tcW w:w="1000" w:type="dxa"/>
            <w:vAlign w:val="bottom"/>
            <w:tcBorders>
              <w:bottom w:val="single" w:sz="8" w:color="ACACAC"/>
            </w:tcBorders>
          </w:tcPr>
          <w:p>
            <w:pPr>
              <w:jc w:val="right"/>
              <w:ind w:right="188"/>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1"/>
                <w:szCs w:val="11"/>
                <w:color w:val="005BA5"/>
              </w:rPr>
              <w:t>(2)</w:t>
            </w:r>
          </w:p>
        </w:tc>
        <w:tc>
          <w:tcPr>
            <w:tcW w:w="120" w:type="dxa"/>
            <w:vAlign w:val="bottom"/>
          </w:tcPr>
          <w:p>
            <w:pPr>
              <w:spacing w:after="0"/>
              <w:rPr>
                <w:sz w:val="16"/>
                <w:szCs w:val="16"/>
                <w:color w:val="auto"/>
              </w:rPr>
            </w:pPr>
          </w:p>
        </w:tc>
        <w:tc>
          <w:tcPr>
            <w:tcW w:w="160" w:type="dxa"/>
            <w:vAlign w:val="bottom"/>
            <w:tcBorders>
              <w:bottom w:val="single" w:sz="8" w:color="ACACAC"/>
            </w:tcBorders>
          </w:tcPr>
          <w:p>
            <w:pPr>
              <w:spacing w:after="0"/>
              <w:rPr>
                <w:sz w:val="16"/>
                <w:szCs w:val="16"/>
                <w:color w:val="auto"/>
              </w:rPr>
            </w:pPr>
          </w:p>
        </w:tc>
        <w:tc>
          <w:tcPr>
            <w:tcW w:w="1000" w:type="dxa"/>
            <w:vAlign w:val="bottom"/>
            <w:tcBorders>
              <w:bottom w:val="single" w:sz="8" w:color="ACACAC"/>
            </w:tcBorders>
          </w:tcPr>
          <w:p>
            <w:pPr>
              <w:jc w:val="right"/>
              <w:ind w:right="148"/>
              <w:spacing w:after="0"/>
              <w:rPr>
                <w:sz w:val="20"/>
                <w:szCs w:val="20"/>
                <w:color w:val="auto"/>
              </w:rPr>
            </w:pPr>
            <w:r>
              <w:rPr>
                <w:rFonts w:ascii="Arial" w:cs="Arial" w:eastAsia="Arial" w:hAnsi="Arial"/>
                <w:sz w:val="14"/>
                <w:szCs w:val="14"/>
                <w:b w:val="1"/>
                <w:bCs w:val="1"/>
                <w:color w:val="auto"/>
                <w:w w:val="95"/>
              </w:rPr>
              <w:t xml:space="preserve">exposure </w:t>
            </w:r>
            <w:r>
              <w:rPr>
                <w:rFonts w:ascii="Arial" w:cs="Arial" w:eastAsia="Arial" w:hAnsi="Arial"/>
                <w:sz w:val="11"/>
                <w:szCs w:val="11"/>
                <w:color w:val="005BA5"/>
                <w:w w:val="95"/>
              </w:rPr>
              <w:t>(2)</w:t>
            </w:r>
          </w:p>
        </w:tc>
        <w:tc>
          <w:tcPr>
            <w:tcW w:w="120" w:type="dxa"/>
            <w:vAlign w:val="bottom"/>
          </w:tcPr>
          <w:p>
            <w:pPr>
              <w:spacing w:after="0"/>
              <w:rPr>
                <w:sz w:val="16"/>
                <w:szCs w:val="16"/>
                <w:color w:val="auto"/>
              </w:rPr>
            </w:pPr>
          </w:p>
        </w:tc>
        <w:tc>
          <w:tcPr>
            <w:tcW w:w="140" w:type="dxa"/>
            <w:vAlign w:val="bottom"/>
            <w:tcBorders>
              <w:bottom w:val="single" w:sz="8" w:color="ACACAC"/>
            </w:tcBorders>
          </w:tcPr>
          <w:p>
            <w:pPr>
              <w:spacing w:after="0"/>
              <w:rPr>
                <w:sz w:val="16"/>
                <w:szCs w:val="16"/>
                <w:color w:val="auto"/>
              </w:rPr>
            </w:pPr>
          </w:p>
        </w:tc>
        <w:tc>
          <w:tcPr>
            <w:tcW w:w="1000" w:type="dxa"/>
            <w:vAlign w:val="bottom"/>
            <w:tcBorders>
              <w:bottom w:val="single" w:sz="8" w:color="ACACAC"/>
            </w:tcBorders>
          </w:tcPr>
          <w:p>
            <w:pPr>
              <w:jc w:val="right"/>
              <w:ind w:right="128"/>
              <w:spacing w:after="0"/>
              <w:rPr>
                <w:sz w:val="20"/>
                <w:szCs w:val="20"/>
                <w:color w:val="auto"/>
              </w:rPr>
            </w:pPr>
            <w:r>
              <w:rPr>
                <w:rFonts w:ascii="Arial" w:cs="Arial" w:eastAsia="Arial" w:hAnsi="Arial"/>
                <w:sz w:val="14"/>
                <w:szCs w:val="14"/>
                <w:b w:val="1"/>
                <w:bCs w:val="1"/>
                <w:color w:val="auto"/>
                <w:w w:val="98"/>
              </w:rPr>
              <w:t xml:space="preserve">collateral </w:t>
            </w:r>
            <w:r>
              <w:rPr>
                <w:rFonts w:ascii="Arial" w:cs="Arial" w:eastAsia="Arial" w:hAnsi="Arial"/>
                <w:sz w:val="11"/>
                <w:szCs w:val="11"/>
                <w:color w:val="005BA5"/>
                <w:w w:val="98"/>
              </w:rPr>
              <w:t>(2)</w:t>
            </w:r>
          </w:p>
        </w:tc>
        <w:tc>
          <w:tcPr>
            <w:tcW w:w="100" w:type="dxa"/>
            <w:vAlign w:val="bottom"/>
          </w:tcPr>
          <w:p>
            <w:pPr>
              <w:spacing w:after="0"/>
              <w:rPr>
                <w:sz w:val="16"/>
                <w:szCs w:val="16"/>
                <w:color w:val="auto"/>
              </w:rPr>
            </w:pPr>
          </w:p>
        </w:tc>
        <w:tc>
          <w:tcPr>
            <w:tcW w:w="1140" w:type="dxa"/>
            <w:vAlign w:val="bottom"/>
            <w:tcBorders>
              <w:bottom w:val="single" w:sz="8" w:color="ACACAC"/>
            </w:tcBorders>
          </w:tcPr>
          <w:p>
            <w:pPr>
              <w:jc w:val="center"/>
              <w:spacing w:after="0"/>
              <w:rPr>
                <w:sz w:val="20"/>
                <w:szCs w:val="20"/>
                <w:color w:val="auto"/>
              </w:rPr>
            </w:pPr>
            <w:r>
              <w:rPr>
                <w:rFonts w:ascii="Arial" w:cs="Arial" w:eastAsia="Arial" w:hAnsi="Arial"/>
                <w:sz w:val="14"/>
                <w:szCs w:val="14"/>
                <w:b w:val="1"/>
                <w:bCs w:val="1"/>
                <w:color w:val="auto"/>
                <w:w w:val="91"/>
              </w:rPr>
              <w:t>parties</w:t>
            </w:r>
          </w:p>
        </w:tc>
        <w:tc>
          <w:tcPr>
            <w:tcW w:w="100" w:type="dxa"/>
            <w:vAlign w:val="bottom"/>
          </w:tcPr>
          <w:p>
            <w:pPr>
              <w:spacing w:after="0"/>
              <w:rPr>
                <w:sz w:val="16"/>
                <w:szCs w:val="16"/>
                <w:color w:val="auto"/>
              </w:rPr>
            </w:pPr>
          </w:p>
        </w:tc>
        <w:tc>
          <w:tcPr>
            <w:tcW w:w="180" w:type="dxa"/>
            <w:vAlign w:val="bottom"/>
            <w:tcBorders>
              <w:bottom w:val="single" w:sz="8" w:color="ACACAC"/>
            </w:tcBorders>
          </w:tcPr>
          <w:p>
            <w:pPr>
              <w:spacing w:after="0"/>
              <w:rPr>
                <w:sz w:val="16"/>
                <w:szCs w:val="16"/>
                <w:color w:val="auto"/>
              </w:rPr>
            </w:pPr>
          </w:p>
        </w:tc>
        <w:tc>
          <w:tcPr>
            <w:tcW w:w="940" w:type="dxa"/>
            <w:vAlign w:val="bottom"/>
            <w:tcBorders>
              <w:bottom w:val="single" w:sz="8" w:color="ACACAC"/>
            </w:tcBorders>
          </w:tcPr>
          <w:p>
            <w:pPr>
              <w:jc w:val="right"/>
              <w:ind w:right="168"/>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1"/>
                <w:szCs w:val="11"/>
                <w:color w:val="005BA5"/>
              </w:rPr>
              <w:t>(2)</w:t>
            </w:r>
          </w:p>
        </w:tc>
        <w:tc>
          <w:tcPr>
            <w:tcW w:w="120" w:type="dxa"/>
            <w:vAlign w:val="bottom"/>
          </w:tcPr>
          <w:p>
            <w:pPr>
              <w:spacing w:after="0"/>
              <w:rPr>
                <w:sz w:val="16"/>
                <w:szCs w:val="16"/>
                <w:color w:val="auto"/>
              </w:rPr>
            </w:pPr>
          </w:p>
        </w:tc>
        <w:tc>
          <w:tcPr>
            <w:tcW w:w="140" w:type="dxa"/>
            <w:vAlign w:val="bottom"/>
            <w:tcBorders>
              <w:bottom w:val="single" w:sz="8" w:color="ACACAC"/>
            </w:tcBorders>
          </w:tcPr>
          <w:p>
            <w:pPr>
              <w:spacing w:after="0"/>
              <w:rPr>
                <w:sz w:val="16"/>
                <w:szCs w:val="16"/>
                <w:color w:val="auto"/>
              </w:rPr>
            </w:pPr>
          </w:p>
        </w:tc>
        <w:tc>
          <w:tcPr>
            <w:tcW w:w="980" w:type="dxa"/>
            <w:vAlign w:val="bottom"/>
            <w:tcBorders>
              <w:bottom w:val="single" w:sz="8" w:color="ACACAC"/>
            </w:tcBorders>
          </w:tcPr>
          <w:p>
            <w:pPr>
              <w:jc w:val="right"/>
              <w:ind w:right="148"/>
              <w:spacing w:after="0"/>
              <w:rPr>
                <w:sz w:val="20"/>
                <w:szCs w:val="20"/>
                <w:color w:val="auto"/>
              </w:rPr>
            </w:pPr>
            <w:r>
              <w:rPr>
                <w:rFonts w:ascii="Arial" w:cs="Arial" w:eastAsia="Arial" w:hAnsi="Arial"/>
                <w:sz w:val="14"/>
                <w:szCs w:val="14"/>
                <w:b w:val="1"/>
                <w:bCs w:val="1"/>
                <w:color w:val="auto"/>
                <w:w w:val="92"/>
              </w:rPr>
              <w:t xml:space="preserve">exposure </w:t>
            </w:r>
            <w:r>
              <w:rPr>
                <w:rFonts w:ascii="Arial" w:cs="Arial" w:eastAsia="Arial" w:hAnsi="Arial"/>
                <w:sz w:val="11"/>
                <w:szCs w:val="11"/>
                <w:color w:val="005BA5"/>
                <w:w w:val="92"/>
              </w:rPr>
              <w:t>(2)</w:t>
            </w:r>
          </w:p>
        </w:tc>
        <w:tc>
          <w:tcPr>
            <w:tcW w:w="100" w:type="dxa"/>
            <w:vAlign w:val="bottom"/>
          </w:tcPr>
          <w:p>
            <w:pPr>
              <w:spacing w:after="0"/>
              <w:rPr>
                <w:sz w:val="16"/>
                <w:szCs w:val="16"/>
                <w:color w:val="auto"/>
              </w:rPr>
            </w:pPr>
          </w:p>
        </w:tc>
        <w:tc>
          <w:tcPr>
            <w:tcW w:w="140" w:type="dxa"/>
            <w:vAlign w:val="bottom"/>
            <w:tcBorders>
              <w:bottom w:val="single" w:sz="8" w:color="ACACAC"/>
            </w:tcBorders>
          </w:tcPr>
          <w:p>
            <w:pPr>
              <w:spacing w:after="0"/>
              <w:rPr>
                <w:sz w:val="16"/>
                <w:szCs w:val="16"/>
                <w:color w:val="auto"/>
              </w:rPr>
            </w:pPr>
          </w:p>
        </w:tc>
        <w:tc>
          <w:tcPr>
            <w:tcW w:w="98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b w:val="1"/>
                <w:bCs w:val="1"/>
                <w:color w:val="auto"/>
                <w:w w:val="98"/>
              </w:rPr>
              <w:t xml:space="preserve">collateral </w:t>
            </w:r>
            <w:r>
              <w:rPr>
                <w:rFonts w:ascii="Arial" w:cs="Arial" w:eastAsia="Arial" w:hAnsi="Arial"/>
                <w:sz w:val="11"/>
                <w:szCs w:val="11"/>
                <w:color w:val="005BA5"/>
                <w:w w:val="98"/>
              </w:rPr>
              <w:t>(2)</w:t>
            </w:r>
          </w:p>
        </w:tc>
        <w:tc>
          <w:tcPr>
            <w:tcW w:w="0" w:type="dxa"/>
            <w:vAlign w:val="bottom"/>
          </w:tcPr>
          <w:p>
            <w:pPr>
              <w:spacing w:after="0"/>
              <w:rPr>
                <w:sz w:val="1"/>
                <w:szCs w:val="1"/>
                <w:color w:val="auto"/>
              </w:rPr>
            </w:pPr>
          </w:p>
        </w:tc>
      </w:tr>
      <w:tr>
        <w:trPr>
          <w:trHeight w:val="250"/>
        </w:trPr>
        <w:tc>
          <w:tcPr>
            <w:tcW w:w="13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A+</w:t>
            </w:r>
          </w:p>
        </w:tc>
        <w:tc>
          <w:tcPr>
            <w:tcW w:w="120" w:type="dxa"/>
            <w:vAlign w:val="bottom"/>
          </w:tcPr>
          <w:p>
            <w:pPr>
              <w:spacing w:after="0"/>
              <w:rPr>
                <w:sz w:val="21"/>
                <w:szCs w:val="21"/>
                <w:color w:val="auto"/>
              </w:rPr>
            </w:pPr>
          </w:p>
        </w:tc>
        <w:tc>
          <w:tcPr>
            <w:tcW w:w="940" w:type="dxa"/>
            <w:vAlign w:val="bottom"/>
            <w:tcBorders>
              <w:bottom w:val="single" w:sz="8" w:color="ACACAC"/>
            </w:tcBorders>
          </w:tcPr>
          <w:p>
            <w:pPr>
              <w:spacing w:after="0"/>
              <w:rPr>
                <w:sz w:val="21"/>
                <w:szCs w:val="21"/>
                <w:color w:val="auto"/>
              </w:rPr>
            </w:pPr>
          </w:p>
        </w:tc>
        <w:tc>
          <w:tcPr>
            <w:tcW w:w="22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21"/>
                <w:szCs w:val="21"/>
                <w:color w:val="auto"/>
              </w:rPr>
            </w:pPr>
          </w:p>
        </w:tc>
        <w:tc>
          <w:tcPr>
            <w:tcW w:w="16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748</w:t>
            </w:r>
          </w:p>
        </w:tc>
        <w:tc>
          <w:tcPr>
            <w:tcW w:w="120" w:type="dxa"/>
            <w:vAlign w:val="bottom"/>
          </w:tcPr>
          <w:p>
            <w:pPr>
              <w:spacing w:after="0"/>
              <w:rPr>
                <w:sz w:val="21"/>
                <w:szCs w:val="21"/>
                <w:color w:val="auto"/>
              </w:rPr>
            </w:pPr>
          </w:p>
        </w:tc>
        <w:tc>
          <w:tcPr>
            <w:tcW w:w="1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1"/>
                <w:szCs w:val="21"/>
                <w:color w:val="auto"/>
              </w:rPr>
            </w:pPr>
          </w:p>
        </w:tc>
        <w:tc>
          <w:tcPr>
            <w:tcW w:w="14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14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80" w:type="dxa"/>
            <w:vAlign w:val="bottom"/>
            <w:tcBorders>
              <w:bottom w:val="single" w:sz="8" w:color="ACACAC"/>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643</w:t>
            </w:r>
          </w:p>
        </w:tc>
        <w:tc>
          <w:tcPr>
            <w:tcW w:w="120" w:type="dxa"/>
            <w:vAlign w:val="bottom"/>
          </w:tcPr>
          <w:p>
            <w:pPr>
              <w:spacing w:after="0"/>
              <w:rPr>
                <w:sz w:val="21"/>
                <w:szCs w:val="21"/>
                <w:color w:val="auto"/>
              </w:rPr>
            </w:pPr>
          </w:p>
        </w:tc>
        <w:tc>
          <w:tcPr>
            <w:tcW w:w="14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4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1380" w:type="dxa"/>
            <w:vAlign w:val="bottom"/>
            <w:tcBorders>
              <w:bottom w:val="single" w:sz="8" w:color="005BA5"/>
            </w:tcBorders>
          </w:tcPr>
          <w:p>
            <w:pPr>
              <w:ind w:left="40"/>
              <w:spacing w:after="0"/>
              <w:rPr>
                <w:sz w:val="20"/>
                <w:szCs w:val="20"/>
                <w:color w:val="auto"/>
              </w:rPr>
            </w:pPr>
            <w:r>
              <w:rPr>
                <w:rFonts w:ascii="Arial" w:cs="Arial" w:eastAsia="Arial" w:hAnsi="Arial"/>
                <w:sz w:val="14"/>
                <w:szCs w:val="14"/>
                <w:color w:val="auto"/>
              </w:rPr>
              <w:t>A</w:t>
            </w:r>
          </w:p>
        </w:tc>
        <w:tc>
          <w:tcPr>
            <w:tcW w:w="120" w:type="dxa"/>
            <w:vAlign w:val="bottom"/>
          </w:tcPr>
          <w:p>
            <w:pPr>
              <w:spacing w:after="0"/>
              <w:rPr>
                <w:sz w:val="21"/>
                <w:szCs w:val="21"/>
                <w:color w:val="auto"/>
              </w:rPr>
            </w:pPr>
          </w:p>
        </w:tc>
        <w:tc>
          <w:tcPr>
            <w:tcW w:w="940" w:type="dxa"/>
            <w:vAlign w:val="bottom"/>
            <w:tcBorders>
              <w:bottom w:val="single" w:sz="8" w:color="005BA5"/>
            </w:tcBorders>
          </w:tcPr>
          <w:p>
            <w:pPr>
              <w:spacing w:after="0"/>
              <w:rPr>
                <w:sz w:val="21"/>
                <w:szCs w:val="21"/>
                <w:color w:val="auto"/>
              </w:rPr>
            </w:pPr>
          </w:p>
        </w:tc>
        <w:tc>
          <w:tcPr>
            <w:tcW w:w="22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1"/>
                <w:szCs w:val="21"/>
                <w:color w:val="auto"/>
              </w:rPr>
            </w:pPr>
          </w:p>
        </w:tc>
        <w:tc>
          <w:tcPr>
            <w:tcW w:w="160" w:type="dxa"/>
            <w:vAlign w:val="bottom"/>
            <w:tcBorders>
              <w:bottom w:val="single" w:sz="8" w:color="005BA5"/>
            </w:tcBorders>
          </w:tcPr>
          <w:p>
            <w:pPr>
              <w:spacing w:after="0"/>
              <w:rPr>
                <w:sz w:val="21"/>
                <w:szCs w:val="21"/>
                <w:color w:val="auto"/>
              </w:rPr>
            </w:pPr>
          </w:p>
        </w:tc>
        <w:tc>
          <w:tcPr>
            <w:tcW w:w="100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1"/>
                <w:szCs w:val="21"/>
                <w:color w:val="auto"/>
              </w:rPr>
            </w:pPr>
          </w:p>
        </w:tc>
        <w:tc>
          <w:tcPr>
            <w:tcW w:w="160" w:type="dxa"/>
            <w:vAlign w:val="bottom"/>
            <w:tcBorders>
              <w:bottom w:val="single" w:sz="8" w:color="005BA5"/>
            </w:tcBorders>
          </w:tcPr>
          <w:p>
            <w:pPr>
              <w:spacing w:after="0"/>
              <w:rPr>
                <w:sz w:val="21"/>
                <w:szCs w:val="21"/>
                <w:color w:val="auto"/>
              </w:rPr>
            </w:pPr>
          </w:p>
        </w:tc>
        <w:tc>
          <w:tcPr>
            <w:tcW w:w="100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40" w:type="dxa"/>
            <w:vAlign w:val="bottom"/>
            <w:tcBorders>
              <w:bottom w:val="single" w:sz="8" w:color="005BA5"/>
            </w:tcBorders>
          </w:tcPr>
          <w:p>
            <w:pPr>
              <w:spacing w:after="0"/>
              <w:rPr>
                <w:sz w:val="21"/>
                <w:szCs w:val="21"/>
                <w:color w:val="auto"/>
              </w:rPr>
            </w:pPr>
          </w:p>
        </w:tc>
        <w:tc>
          <w:tcPr>
            <w:tcW w:w="100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14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80" w:type="dxa"/>
            <w:vAlign w:val="bottom"/>
            <w:tcBorders>
              <w:bottom w:val="single" w:sz="8" w:color="005BA5"/>
            </w:tcBorders>
          </w:tcPr>
          <w:p>
            <w:pPr>
              <w:spacing w:after="0"/>
              <w:rPr>
                <w:sz w:val="21"/>
                <w:szCs w:val="21"/>
                <w:color w:val="auto"/>
              </w:rPr>
            </w:pPr>
          </w:p>
        </w:tc>
        <w:tc>
          <w:tcPr>
            <w:tcW w:w="94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1"/>
                <w:szCs w:val="21"/>
                <w:color w:val="auto"/>
              </w:rPr>
            </w:pPr>
          </w:p>
        </w:tc>
        <w:tc>
          <w:tcPr>
            <w:tcW w:w="140" w:type="dxa"/>
            <w:vAlign w:val="bottom"/>
            <w:tcBorders>
              <w:bottom w:val="single" w:sz="8" w:color="005BA5"/>
            </w:tcBorders>
          </w:tcPr>
          <w:p>
            <w:pPr>
              <w:spacing w:after="0"/>
              <w:rPr>
                <w:sz w:val="21"/>
                <w:szCs w:val="21"/>
                <w:color w:val="auto"/>
              </w:rPr>
            </w:pPr>
          </w:p>
        </w:tc>
        <w:tc>
          <w:tcPr>
            <w:tcW w:w="9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Borders>
              <w:bottom w:val="single" w:sz="8" w:color="005BA5"/>
            </w:tcBorders>
          </w:tcPr>
          <w:p>
            <w:pPr>
              <w:spacing w:after="0"/>
              <w:rPr>
                <w:sz w:val="21"/>
                <w:szCs w:val="21"/>
                <w:color w:val="auto"/>
              </w:rPr>
            </w:pPr>
          </w:p>
        </w:tc>
        <w:tc>
          <w:tcPr>
            <w:tcW w:w="98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3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1"/>
                <w:szCs w:val="21"/>
                <w:color w:val="auto"/>
              </w:rPr>
            </w:pPr>
          </w:p>
        </w:tc>
        <w:tc>
          <w:tcPr>
            <w:tcW w:w="940" w:type="dxa"/>
            <w:vAlign w:val="bottom"/>
            <w:tcBorders>
              <w:bottom w:val="single" w:sz="8" w:color="005BA5"/>
            </w:tcBorders>
          </w:tcPr>
          <w:p>
            <w:pPr>
              <w:spacing w:after="0"/>
              <w:rPr>
                <w:sz w:val="21"/>
                <w:szCs w:val="21"/>
                <w:color w:val="auto"/>
              </w:rPr>
            </w:pPr>
          </w:p>
        </w:tc>
        <w:tc>
          <w:tcPr>
            <w:tcW w:w="22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5</w:t>
            </w:r>
          </w:p>
        </w:tc>
        <w:tc>
          <w:tcPr>
            <w:tcW w:w="140" w:type="dxa"/>
            <w:vAlign w:val="bottom"/>
          </w:tcPr>
          <w:p>
            <w:pPr>
              <w:spacing w:after="0"/>
              <w:rPr>
                <w:sz w:val="21"/>
                <w:szCs w:val="21"/>
                <w:color w:val="auto"/>
              </w:rPr>
            </w:pPr>
          </w:p>
        </w:tc>
        <w:tc>
          <w:tcPr>
            <w:tcW w:w="160" w:type="dxa"/>
            <w:vAlign w:val="bottom"/>
            <w:tcBorders>
              <w:bottom w:val="single" w:sz="8" w:color="005BA5"/>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864</w:t>
            </w:r>
          </w:p>
        </w:tc>
        <w:tc>
          <w:tcPr>
            <w:tcW w:w="120" w:type="dxa"/>
            <w:vAlign w:val="bottom"/>
          </w:tcPr>
          <w:p>
            <w:pPr>
              <w:spacing w:after="0"/>
              <w:rPr>
                <w:sz w:val="21"/>
                <w:szCs w:val="21"/>
                <w:color w:val="auto"/>
              </w:rPr>
            </w:pPr>
          </w:p>
        </w:tc>
        <w:tc>
          <w:tcPr>
            <w:tcW w:w="16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120" w:type="dxa"/>
            <w:vAlign w:val="bottom"/>
          </w:tcPr>
          <w:p>
            <w:pPr>
              <w:spacing w:after="0"/>
              <w:rPr>
                <w:sz w:val="21"/>
                <w:szCs w:val="21"/>
                <w:color w:val="auto"/>
              </w:rPr>
            </w:pPr>
          </w:p>
        </w:tc>
        <w:tc>
          <w:tcPr>
            <w:tcW w:w="14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1"/>
                <w:szCs w:val="21"/>
                <w:color w:val="auto"/>
              </w:rPr>
            </w:pPr>
          </w:p>
        </w:tc>
        <w:tc>
          <w:tcPr>
            <w:tcW w:w="114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1"/>
                <w:szCs w:val="21"/>
                <w:color w:val="auto"/>
              </w:rPr>
            </w:pPr>
          </w:p>
        </w:tc>
        <w:tc>
          <w:tcPr>
            <w:tcW w:w="180" w:type="dxa"/>
            <w:vAlign w:val="bottom"/>
            <w:tcBorders>
              <w:bottom w:val="single" w:sz="8" w:color="005BA5"/>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b w:val="1"/>
                <w:bCs w:val="1"/>
                <w:color w:val="auto"/>
              </w:rPr>
              <w:t>764</w:t>
            </w:r>
          </w:p>
        </w:tc>
        <w:tc>
          <w:tcPr>
            <w:tcW w:w="120" w:type="dxa"/>
            <w:vAlign w:val="bottom"/>
          </w:tcPr>
          <w:p>
            <w:pPr>
              <w:spacing w:after="0"/>
              <w:rPr>
                <w:sz w:val="21"/>
                <w:szCs w:val="21"/>
                <w:color w:val="auto"/>
              </w:rPr>
            </w:pPr>
          </w:p>
        </w:tc>
        <w:tc>
          <w:tcPr>
            <w:tcW w:w="14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21"/>
                <w:szCs w:val="21"/>
                <w:color w:val="auto"/>
              </w:rPr>
            </w:pPr>
          </w:p>
        </w:tc>
        <w:tc>
          <w:tcPr>
            <w:tcW w:w="14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bl>
    <w:p>
      <w:pPr>
        <w:ind w:left="340" w:hanging="251"/>
        <w:spacing w:after="0" w:line="200" w:lineRule="auto"/>
        <w:tabs>
          <w:tab w:leader="none" w:pos="340" w:val="left"/>
        </w:tabs>
        <w:numPr>
          <w:ilvl w:val="0"/>
          <w:numId w:val="21"/>
        </w:numPr>
        <w:rPr>
          <w:rFonts w:ascii="Arial" w:cs="Arial" w:eastAsia="Arial" w:hAnsi="Arial"/>
          <w:sz w:val="24"/>
          <w:szCs w:val="24"/>
          <w:color w:val="005BA5"/>
          <w:vertAlign w:val="superscript"/>
        </w:rPr>
      </w:pPr>
      <w:r>
        <w:rPr>
          <w:rFonts w:ascii="Arial" w:cs="Arial" w:eastAsia="Arial" w:hAnsi="Arial"/>
          <w:sz w:val="14"/>
          <w:szCs w:val="14"/>
          <w:color w:val="auto"/>
        </w:rPr>
        <w:t>Allstate uses the lower of S&amp;P’s or Moody’s long term debt issuer ratings.</w:t>
      </w:r>
    </w:p>
    <w:p>
      <w:pPr>
        <w:spacing w:after="0" w:line="44" w:lineRule="exact"/>
        <w:rPr>
          <w:rFonts w:ascii="Arial" w:cs="Arial" w:eastAsia="Arial" w:hAnsi="Arial"/>
          <w:sz w:val="24"/>
          <w:szCs w:val="24"/>
          <w:color w:val="005BA5"/>
          <w:vertAlign w:val="superscript"/>
        </w:rPr>
      </w:pPr>
    </w:p>
    <w:p>
      <w:pPr>
        <w:ind w:left="340" w:hanging="251"/>
        <w:spacing w:after="0" w:line="199" w:lineRule="auto"/>
        <w:tabs>
          <w:tab w:leader="none" w:pos="340" w:val="left"/>
        </w:tabs>
        <w:numPr>
          <w:ilvl w:val="0"/>
          <w:numId w:val="21"/>
        </w:numPr>
        <w:rPr>
          <w:rFonts w:ascii="Arial" w:cs="Arial" w:eastAsia="Arial" w:hAnsi="Arial"/>
          <w:sz w:val="18"/>
          <w:szCs w:val="18"/>
          <w:color w:val="005BA5"/>
          <w:vertAlign w:val="superscript"/>
        </w:rPr>
      </w:pPr>
      <w:r>
        <w:rPr>
          <w:rFonts w:ascii="Arial" w:cs="Arial" w:eastAsia="Arial" w:hAnsi="Arial"/>
          <w:sz w:val="12"/>
          <w:szCs w:val="12"/>
          <w:color w:val="auto"/>
        </w:rPr>
        <w:t>Only OTC derivatives with a net positive fair value are included for each counterparty.</w:t>
      </w:r>
    </w:p>
    <w:p>
      <w:pPr>
        <w:sectPr>
          <w:pgSz w:w="11900" w:h="16838" w:orient="portrait"/>
          <w:cols w:equalWidth="0" w:num="1">
            <w:col w:w="11420"/>
          </w:cols>
          <w:pgMar w:left="240" w:top="141" w:right="239" w:bottom="1440" w:gutter="0" w:footer="0" w:header="0"/>
        </w:sectPr>
      </w:pPr>
    </w:p>
    <w:p>
      <w:pPr>
        <w:spacing w:after="0" w:line="96"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Market risk is the risk that the Company will incur losses due to adverse changes in market rates and prices. Market risk exists for all of the derivative financial instruments the Company currently holds, as these instruments may become less valuable due to adverse changes in market conditions. To limit this risk, the Company’s senior management has established risk control limits. In addition, changes in fair value of the derivative financial instruments that the Company uses for risk management purposes are generally offset by the change in the fair value or cash flows of the hedged risk component of the related assets, liabilities or forecasted transactions.</w:t>
      </w:r>
    </w:p>
    <w:p>
      <w:pPr>
        <w:spacing w:after="0" w:line="288" w:lineRule="exact"/>
        <w:rPr>
          <w:sz w:val="20"/>
          <w:szCs w:val="20"/>
          <w:color w:val="auto"/>
        </w:rPr>
      </w:pPr>
    </w:p>
    <w:p>
      <w:pPr>
        <w:ind w:right="160" w:firstLine="324"/>
        <w:spacing w:after="0" w:line="250" w:lineRule="auto"/>
        <w:rPr>
          <w:sz w:val="20"/>
          <w:szCs w:val="20"/>
          <w:color w:val="auto"/>
        </w:rPr>
      </w:pPr>
      <w:r>
        <w:rPr>
          <w:rFonts w:ascii="Arial" w:cs="Arial" w:eastAsia="Arial" w:hAnsi="Arial"/>
          <w:sz w:val="16"/>
          <w:szCs w:val="16"/>
          <w:color w:val="auto"/>
        </w:rPr>
        <w:t>Certain of the Company’s derivative instruments contain credit-risk-contingent termination events, cross-default provisions and credit support annex agreements. Credit-risk-contingent termination events allow the counterparties to terminate the derivative agreement or a specific trade on certain dates if AIC’s, ALIC’s or Allstate Life Insurance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Company of New York’s (“ALNY”) financial strength credit ratings by Moody’s or S&amp;P fall below a certain level. Credit-risk-contingent cross-default provisions allow the counterparties to terminate the derivative agreement if the Company defaults by pre-determined threshold amounts on certain debt instruments. Credit-risk-contingent credit support annex agreements specify the amount of collateral the Company must post to counterparties based on AIC’s, ALIC’s or ALNY’s financial strength credit ratings by Moody’s or S&amp;P, or in the event AIC, ALIC or ALNY are no longer rated by either Moody’s or S&amp;P.</w:t>
      </w:r>
    </w:p>
    <w:p>
      <w:pPr>
        <w:spacing w:after="0" w:line="99"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The following summarizes the fair value of derivative instruments with termination, cross-default or collateral credit-risk-contingent features that are in a liability position, as well as the fair value of assets and collateral that are netted against the liability in accordance with provisions within legally enforceable MNAs.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264795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220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As of March 31, 2019</w:t>
            </w:r>
          </w:p>
        </w:tc>
        <w:tc>
          <w:tcPr>
            <w:tcW w:w="100" w:type="dxa"/>
            <w:vAlign w:val="bottom"/>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2240" w:type="dxa"/>
            <w:vAlign w:val="bottom"/>
            <w:tcBorders>
              <w:bottom w:val="single" w:sz="8" w:color="005BA5"/>
            </w:tcBorders>
          </w:tcPr>
          <w:p>
            <w:pPr>
              <w:jc w:val="right"/>
              <w:ind w:right="319"/>
              <w:spacing w:after="0"/>
              <w:rPr>
                <w:sz w:val="20"/>
                <w:szCs w:val="20"/>
                <w:color w:val="auto"/>
              </w:rPr>
            </w:pPr>
            <w:r>
              <w:rPr>
                <w:rFonts w:ascii="Arial" w:cs="Arial" w:eastAsia="Arial" w:hAnsi="Arial"/>
                <w:sz w:val="16"/>
                <w:szCs w:val="16"/>
                <w:b w:val="1"/>
                <w:bCs w:val="1"/>
                <w:color w:val="auto"/>
                <w:w w:val="96"/>
              </w:rPr>
              <w:t>As of December 31, 2018</w:t>
            </w:r>
          </w:p>
        </w:tc>
      </w:tr>
      <w:tr>
        <w:trPr>
          <w:trHeight w:val="223"/>
        </w:trPr>
        <w:tc>
          <w:tcPr>
            <w:tcW w:w="6300" w:type="dxa"/>
            <w:vAlign w:val="bottom"/>
            <w:gridSpan w:val="2"/>
          </w:tcPr>
          <w:p>
            <w:pPr>
              <w:ind w:left="40"/>
              <w:spacing w:after="0"/>
              <w:rPr>
                <w:sz w:val="20"/>
                <w:szCs w:val="20"/>
                <w:color w:val="auto"/>
              </w:rPr>
            </w:pPr>
            <w:r>
              <w:rPr>
                <w:rFonts w:ascii="Arial" w:cs="Arial" w:eastAsia="Arial" w:hAnsi="Arial"/>
                <w:sz w:val="16"/>
                <w:szCs w:val="16"/>
                <w:color w:val="auto"/>
              </w:rPr>
              <w:t>Gross liability fair value of contracts containing credit-risk-contingent features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11</w:t>
            </w:r>
          </w:p>
        </w:tc>
      </w:tr>
      <w:tr>
        <w:trPr>
          <w:trHeight w:val="33"/>
        </w:trPr>
        <w:tc>
          <w:tcPr>
            <w:tcW w:w="6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22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2240" w:type="dxa"/>
            <w:vAlign w:val="bottom"/>
            <w:tcBorders>
              <w:bottom w:val="single" w:sz="8" w:color="ACACAC"/>
            </w:tcBorders>
          </w:tcPr>
          <w:p>
            <w:pPr>
              <w:spacing w:after="0"/>
              <w:rPr>
                <w:sz w:val="2"/>
                <w:szCs w:val="2"/>
                <w:color w:val="auto"/>
              </w:rPr>
            </w:pPr>
          </w:p>
        </w:tc>
      </w:tr>
      <w:tr>
        <w:trPr>
          <w:trHeight w:val="213"/>
        </w:trPr>
        <w:tc>
          <w:tcPr>
            <w:tcW w:w="6300" w:type="dxa"/>
            <w:vAlign w:val="bottom"/>
            <w:gridSpan w:val="2"/>
          </w:tcPr>
          <w:p>
            <w:pPr>
              <w:ind w:left="40"/>
              <w:spacing w:after="0"/>
              <w:rPr>
                <w:sz w:val="20"/>
                <w:szCs w:val="20"/>
                <w:color w:val="auto"/>
              </w:rPr>
            </w:pPr>
            <w:r>
              <w:rPr>
                <w:rFonts w:ascii="Arial" w:cs="Arial" w:eastAsia="Arial" w:hAnsi="Arial"/>
                <w:sz w:val="16"/>
                <w:szCs w:val="16"/>
                <w:color w:val="auto"/>
                <w:w w:val="97"/>
              </w:rPr>
              <w:t>Gross asset fair value of contracts containing credit-risk-contingent features and subject to</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06"/>
        </w:trPr>
        <w:tc>
          <w:tcPr>
            <w:tcW w:w="6300" w:type="dxa"/>
            <w:vAlign w:val="bottom"/>
            <w:gridSpan w:val="2"/>
          </w:tcPr>
          <w:p>
            <w:pPr>
              <w:ind w:left="40"/>
              <w:spacing w:after="0"/>
              <w:rPr>
                <w:sz w:val="20"/>
                <w:szCs w:val="20"/>
                <w:color w:val="auto"/>
              </w:rPr>
            </w:pPr>
            <w:r>
              <w:rPr>
                <w:rFonts w:ascii="Arial" w:cs="Arial" w:eastAsia="Arial" w:hAnsi="Arial"/>
                <w:sz w:val="16"/>
                <w:szCs w:val="16"/>
                <w:color w:val="auto"/>
              </w:rPr>
              <w:t>MNAs</w:t>
            </w:r>
          </w:p>
        </w:tc>
        <w:tc>
          <w:tcPr>
            <w:tcW w:w="320" w:type="dxa"/>
            <w:vAlign w:val="bottom"/>
          </w:tcPr>
          <w:p>
            <w:pPr>
              <w:spacing w:after="0"/>
              <w:rPr>
                <w:sz w:val="17"/>
                <w:szCs w:val="17"/>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6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22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2240" w:type="dxa"/>
            <w:vAlign w:val="bottom"/>
            <w:tcBorders>
              <w:bottom w:val="single" w:sz="8" w:color="ACACAC"/>
            </w:tcBorders>
          </w:tcPr>
          <w:p>
            <w:pPr>
              <w:spacing w:after="0"/>
              <w:rPr>
                <w:sz w:val="2"/>
                <w:szCs w:val="2"/>
                <w:color w:val="auto"/>
              </w:rPr>
            </w:pPr>
          </w:p>
        </w:tc>
      </w:tr>
      <w:tr>
        <w:trPr>
          <w:trHeight w:val="217"/>
        </w:trPr>
        <w:tc>
          <w:tcPr>
            <w:tcW w:w="6300" w:type="dxa"/>
            <w:vAlign w:val="bottom"/>
            <w:gridSpan w:val="2"/>
          </w:tcPr>
          <w:p>
            <w:pPr>
              <w:ind w:left="40"/>
              <w:spacing w:after="0"/>
              <w:rPr>
                <w:sz w:val="20"/>
                <w:szCs w:val="20"/>
                <w:color w:val="auto"/>
              </w:rPr>
            </w:pPr>
            <w:r>
              <w:rPr>
                <w:rFonts w:ascii="Arial" w:cs="Arial" w:eastAsia="Arial" w:hAnsi="Arial"/>
                <w:sz w:val="16"/>
                <w:szCs w:val="16"/>
                <w:color w:val="auto"/>
              </w:rPr>
              <w:t>Collateral posted under MNAs for contracts containing credit-risk-contingent features</w:t>
            </w:r>
          </w:p>
        </w:tc>
        <w:tc>
          <w:tcPr>
            <w:tcW w:w="32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61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22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2240" w:type="dxa"/>
            <w:vAlign w:val="bottom"/>
            <w:tcBorders>
              <w:bottom w:val="single" w:sz="8" w:color="005BA5"/>
            </w:tcBorders>
          </w:tcPr>
          <w:p>
            <w:pPr>
              <w:spacing w:after="0"/>
              <w:rPr>
                <w:sz w:val="2"/>
                <w:szCs w:val="2"/>
                <w:color w:val="auto"/>
              </w:rPr>
            </w:pPr>
          </w:p>
        </w:tc>
      </w:tr>
      <w:tr>
        <w:trPr>
          <w:trHeight w:val="209"/>
        </w:trPr>
        <w:tc>
          <w:tcPr>
            <w:tcW w:w="6300" w:type="dxa"/>
            <w:vAlign w:val="bottom"/>
            <w:gridSpan w:val="2"/>
          </w:tcPr>
          <w:p>
            <w:pPr>
              <w:ind w:left="40"/>
              <w:spacing w:after="0"/>
              <w:rPr>
                <w:sz w:val="20"/>
                <w:szCs w:val="20"/>
                <w:color w:val="auto"/>
              </w:rPr>
            </w:pPr>
            <w:r>
              <w:rPr>
                <w:rFonts w:ascii="Arial" w:cs="Arial" w:eastAsia="Arial" w:hAnsi="Arial"/>
                <w:sz w:val="16"/>
                <w:szCs w:val="16"/>
                <w:b w:val="1"/>
                <w:bCs w:val="1"/>
                <w:color w:val="auto"/>
              </w:rPr>
              <w:t>Maximum amount of additional exposure for contracts with credit-risk-contingent</w:t>
            </w: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0"/>
        </w:trPr>
        <w:tc>
          <w:tcPr>
            <w:tcW w:w="6300" w:type="dxa"/>
            <w:vAlign w:val="bottom"/>
            <w:gridSpan w:val="2"/>
          </w:tcPr>
          <w:p>
            <w:pPr>
              <w:ind w:left="40"/>
              <w:spacing w:after="0"/>
              <w:rPr>
                <w:sz w:val="20"/>
                <w:szCs w:val="20"/>
                <w:color w:val="auto"/>
              </w:rPr>
            </w:pPr>
            <w:r>
              <w:rPr>
                <w:rFonts w:ascii="Arial" w:cs="Arial" w:eastAsia="Arial" w:hAnsi="Arial"/>
                <w:sz w:val="16"/>
                <w:szCs w:val="16"/>
                <w:b w:val="1"/>
                <w:bCs w:val="1"/>
                <w:color w:val="auto"/>
              </w:rPr>
              <w:t>features if all features were triggered concurrently</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2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2240" w:type="dxa"/>
            <w:vAlign w:val="bottom"/>
          </w:tcPr>
          <w:p>
            <w:pPr>
              <w:jc w:val="right"/>
              <w:ind w:right="19"/>
              <w:spacing w:after="0"/>
              <w:rPr>
                <w:sz w:val="20"/>
                <w:szCs w:val="20"/>
                <w:color w:val="auto"/>
              </w:rPr>
            </w:pPr>
            <w:r>
              <w:rPr>
                <w:rFonts w:ascii="Arial" w:cs="Arial" w:eastAsia="Arial" w:hAnsi="Arial"/>
                <w:sz w:val="16"/>
                <w:szCs w:val="16"/>
                <w:b w:val="1"/>
                <w:bCs w:val="1"/>
                <w:color w:val="auto"/>
              </w:rPr>
              <w:t>4</w:t>
            </w:r>
          </w:p>
        </w:tc>
      </w:tr>
      <w:tr>
        <w:trPr>
          <w:trHeight w:val="33"/>
        </w:trPr>
        <w:tc>
          <w:tcPr>
            <w:tcW w:w="61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22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224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8</w:t>
      </w:r>
      <w:r>
        <w:rPr>
          <w:sz w:val="20"/>
          <w:szCs w:val="20"/>
          <w:color w:val="auto"/>
        </w:rPr>
        <w:tab/>
      </w:r>
      <w:r>
        <w:rPr>
          <w:rFonts w:ascii="Arial" w:cs="Arial" w:eastAsia="Arial" w:hAnsi="Arial"/>
          <w:sz w:val="19"/>
          <w:szCs w:val="19"/>
          <w:b w:val="1"/>
          <w:bCs w:val="1"/>
          <w:color w:val="auto"/>
        </w:rPr>
        <w:t>Reserve for Property and Casualty Insurance Claims and Claims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p>
      <w:pPr>
        <w:spacing w:after="0" w:line="164"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The Company establishes reserves for claims and claims expense on reported and unreported claims of insured losses. The Company’s reserving process takes into account known facts and interpretations of circumstances and factors including the Company’s experience with similar cases, actual claims paid, historical trends involving claim payment patterns and pending levels of unpaid claims, loss management programs, product mix and contractual terms, changes in law and regulation, judicial decisions, and economic conditions. In the normal course of business, the Company may also supplement its claims processes by utilizing third party adjusters, appraisers, engineers, inspectors, and other professionals and information sources to assess and settle catastrophe and non-catastrophe related claims. The effects of inflation are implicitly considered in the reserving process.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firstLine="324"/>
        <w:spacing w:after="0" w:line="247" w:lineRule="auto"/>
        <w:rPr>
          <w:sz w:val="20"/>
          <w:szCs w:val="20"/>
          <w:color w:val="auto"/>
        </w:rPr>
      </w:pPr>
      <w:r>
        <w:rPr>
          <w:rFonts w:ascii="Arial" w:cs="Arial" w:eastAsia="Arial" w:hAnsi="Arial"/>
          <w:sz w:val="16"/>
          <w:szCs w:val="16"/>
          <w:color w:val="auto"/>
        </w:rPr>
        <w:t>Because reserves are estimates of unpaid portions of losses that have occurred, including incurred but not reported (“IBNR”) losses, the establishment of appropriate reserves, including reserves for catastrophes, Discontinued Lines and Coverages and reinsurance and indemnification recoverables, is an inherently uncertain and complex process. The ultimate cost of losses may vary materially from recorded amounts, which are based on management’s best estimates. The highest degree of uncertainty is associated with reserves for losses incurred in the current reporting period as it contains the greatest proportion of losses that have not been reported or settled. The Company regularly updates its reserve estimates as new information becomes available and as events unfold that may affect the resolution of unsettled claims. Changes in prior year reserve</w:t>
      </w:r>
    </w:p>
    <w:p>
      <w:pPr>
        <w:spacing w:after="0" w:line="389"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148"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35</w:t>
      </w:r>
    </w:p>
    <w:p>
      <w:pPr>
        <w:sectPr>
          <w:pgSz w:w="11900" w:h="16838" w:orient="portrait"/>
          <w:cols w:equalWidth="0" w:num="1">
            <w:col w:w="11420"/>
          </w:cols>
          <w:pgMar w:left="240" w:top="141"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estimates, which may be material, are reported in property and casualty insurance claims and claims expense in the Condensed Consolidated Statements of Operations in the period such changes are determined.</w:t>
      </w:r>
    </w:p>
    <w:p>
      <w:pPr>
        <w:spacing w:after="0" w:line="93"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Management believes that the reserve for property and casualty insurance claims and claims expense, net of recoverables, is appropriately established in the aggregate and adequate to cover the ultimate net cost of reported and unreported claims arising from losses which had occurred by the date of the Condensed Consolidated Statements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840"/>
        <w:spacing w:after="0" w:line="260" w:lineRule="auto"/>
        <w:rPr>
          <w:sz w:val="20"/>
          <w:szCs w:val="20"/>
          <w:color w:val="auto"/>
        </w:rPr>
      </w:pPr>
      <w:r>
        <w:rPr>
          <w:rFonts w:ascii="Arial" w:cs="Arial" w:eastAsia="Arial" w:hAnsi="Arial"/>
          <w:sz w:val="16"/>
          <w:szCs w:val="16"/>
          <w:color w:val="auto"/>
        </w:rPr>
        <w:t>Financial Position based on available facts, technology, laws and regulations.</w:t>
      </w:r>
    </w:p>
    <w:p>
      <w:pPr>
        <w:spacing w:after="0" w:line="88" w:lineRule="exact"/>
        <w:rPr>
          <w:sz w:val="20"/>
          <w:szCs w:val="20"/>
          <w:color w:val="auto"/>
        </w:rPr>
      </w:pPr>
    </w:p>
    <w:p>
      <w:pPr>
        <w:ind w:right="20" w:firstLine="324"/>
        <w:spacing w:after="0" w:line="250" w:lineRule="auto"/>
        <w:rPr>
          <w:sz w:val="20"/>
          <w:szCs w:val="20"/>
          <w:color w:val="auto"/>
        </w:rPr>
      </w:pPr>
      <w:r>
        <w:rPr>
          <w:rFonts w:ascii="Arial" w:cs="Arial" w:eastAsia="Arial" w:hAnsi="Arial"/>
          <w:sz w:val="16"/>
          <w:szCs w:val="16"/>
          <w:color w:val="auto"/>
        </w:rPr>
        <w:t>Allstate’s reserves for asbestos claims were $847 million and $866 million, net of recoverables of $389 million and $400 million, as of March 31, 2019 and December 31, 2018, respectively. Reserves for environmental claims were $167 million and $170 million, net of recoverables of $39 million and $39 million, as of March 31, 2019 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264795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9" w:lineRule="exact"/>
        <w:rPr>
          <w:sz w:val="20"/>
          <w:szCs w:val="20"/>
          <w:color w:val="auto"/>
        </w:rPr>
      </w:pPr>
    </w:p>
    <w:p>
      <w:pPr>
        <w:sectPr>
          <w:pgSz w:w="11900" w:h="16838" w:orient="portrait"/>
          <w:cols w:equalWidth="0" w:num="2">
            <w:col w:w="5380" w:space="560"/>
            <w:col w:w="5480"/>
          </w:cols>
          <w:pgMar w:left="240" w:top="141" w:right="239" w:bottom="1440" w:gutter="0" w:footer="0" w:header="0"/>
        </w:sectPr>
      </w:pPr>
    </w:p>
    <w:p>
      <w:pPr>
        <w:spacing w:after="0" w:line="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Rollforward of the reserve for property and casualty insurance claims and claims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16"/>
                <w:szCs w:val="16"/>
                <w:color w:val="auto"/>
              </w:rPr>
            </w:pPr>
          </w:p>
        </w:tc>
        <w:tc>
          <w:tcPr>
            <w:tcW w:w="106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28"/>
        </w:trPr>
        <w:tc>
          <w:tcPr>
            <w:tcW w:w="8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Balance as of January 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27,423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26,325</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005BA5"/>
            </w:tcBorders>
          </w:tcPr>
          <w:p>
            <w:pPr>
              <w:ind w:left="280"/>
              <w:spacing w:after="0" w:line="250" w:lineRule="exact"/>
              <w:rPr>
                <w:sz w:val="20"/>
                <w:szCs w:val="20"/>
                <w:color w:val="auto"/>
              </w:rPr>
            </w:pPr>
            <w:r>
              <w:rPr>
                <w:rFonts w:ascii="Arial" w:cs="Arial" w:eastAsia="Arial" w:hAnsi="Arial"/>
                <w:sz w:val="16"/>
                <w:szCs w:val="16"/>
                <w:color w:val="auto"/>
              </w:rPr>
              <w:t xml:space="preserve">Less recoverables </w:t>
            </w:r>
            <w:r>
              <w:rPr>
                <w:rFonts w:ascii="Arial" w:cs="Arial" w:eastAsia="Arial" w:hAnsi="Arial"/>
                <w:sz w:val="27"/>
                <w:szCs w:val="27"/>
                <w:color w:val="1666AF"/>
                <w:vertAlign w:val="superscript"/>
              </w:rPr>
              <w:t>(1)</w:t>
            </w:r>
          </w:p>
        </w:tc>
        <w:tc>
          <w:tcPr>
            <w:tcW w:w="12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(7,155)</w:t>
            </w: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4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(6,471)</w:t>
            </w: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balance as of January 1</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20,268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19,854</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Incurred claims and claims expense related to:</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Current year</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5,808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5,180</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Prior years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incurred</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5,820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5,129</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Claims and claims expense paid related to:</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Current year</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(2,240)</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Prior years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(3,115)</w:t>
            </w:r>
          </w:p>
        </w:tc>
        <w:tc>
          <w:tcPr>
            <w:tcW w:w="0" w:type="dxa"/>
            <w:vAlign w:val="bottom"/>
          </w:tcPr>
          <w:p>
            <w:pPr>
              <w:spacing w:after="0"/>
              <w:rPr>
                <w:sz w:val="1"/>
                <w:szCs w:val="1"/>
                <w:color w:val="auto"/>
              </w:rPr>
            </w:pP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paid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(5,564)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(5,355)</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balance as of March 31</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20,524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19,628</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Plus recoverables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7,020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6,487</w:t>
            </w:r>
          </w:p>
        </w:tc>
        <w:tc>
          <w:tcPr>
            <w:tcW w:w="0" w:type="dxa"/>
            <w:vAlign w:val="bottom"/>
          </w:tcPr>
          <w:p>
            <w:pPr>
              <w:spacing w:after="0"/>
              <w:rPr>
                <w:sz w:val="1"/>
                <w:szCs w:val="1"/>
                <w:color w:val="auto"/>
              </w:rPr>
            </w:pP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as of March 31</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27,544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26,115</w:t>
            </w:r>
          </w:p>
        </w:tc>
        <w:tc>
          <w:tcPr>
            <w:tcW w:w="0" w:type="dxa"/>
            <w:vAlign w:val="bottom"/>
          </w:tcPr>
          <w:p>
            <w:pPr>
              <w:spacing w:after="0"/>
              <w:rPr>
                <w:sz w:val="1"/>
                <w:szCs w:val="1"/>
                <w:color w:val="auto"/>
              </w:rPr>
            </w:pP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300" w:hanging="211"/>
        <w:spacing w:after="0"/>
        <w:tabs>
          <w:tab w:leader="none" w:pos="300" w:val="left"/>
        </w:tabs>
        <w:numPr>
          <w:ilvl w:val="0"/>
          <w:numId w:val="22"/>
        </w:numPr>
        <w:rPr>
          <w:rFonts w:ascii="Arial" w:cs="Arial" w:eastAsia="Arial" w:hAnsi="Arial"/>
          <w:sz w:val="25"/>
          <w:szCs w:val="25"/>
          <w:color w:val="1666AF"/>
          <w:vertAlign w:val="superscript"/>
        </w:rPr>
      </w:pPr>
      <w:r>
        <w:rPr>
          <w:rFonts w:ascii="Arial" w:cs="Arial" w:eastAsia="Arial" w:hAnsi="Arial"/>
          <w:sz w:val="15"/>
          <w:szCs w:val="15"/>
          <w:color w:val="auto"/>
        </w:rPr>
        <w:t>Recoverables comprises reinsurance and indemnification recoverables.</w:t>
      </w:r>
    </w:p>
    <w:p>
      <w:pPr>
        <w:sectPr>
          <w:pgSz w:w="11900" w:h="16838" w:orient="portrait"/>
          <w:cols w:equalWidth="0" w:num="1">
            <w:col w:w="11420"/>
          </w:cols>
          <w:pgMar w:left="240" w:top="141" w:right="239" w:bottom="1440" w:gutter="0" w:footer="0" w:header="0"/>
          <w:type w:val="continuous"/>
        </w:sectPr>
      </w:pPr>
    </w:p>
    <w:p>
      <w:pPr>
        <w:spacing w:after="0" w:line="102" w:lineRule="exact"/>
        <w:rPr>
          <w:sz w:val="20"/>
          <w:szCs w:val="20"/>
          <w:color w:val="auto"/>
        </w:rPr>
      </w:pPr>
    </w:p>
    <w:p>
      <w:pPr>
        <w:ind w:right="20" w:firstLine="324"/>
        <w:spacing w:after="0" w:line="248" w:lineRule="auto"/>
        <w:rPr>
          <w:sz w:val="20"/>
          <w:szCs w:val="20"/>
          <w:color w:val="auto"/>
        </w:rPr>
      </w:pPr>
      <w:r>
        <w:rPr>
          <w:rFonts w:ascii="Arial" w:cs="Arial" w:eastAsia="Arial" w:hAnsi="Arial"/>
          <w:sz w:val="16"/>
          <w:szCs w:val="16"/>
          <w:color w:val="auto"/>
        </w:rPr>
        <w:t>Incurred claims and claims expense represents the sum of paid losses and reserve changes in the period. This expense includes losses from catastrophes of $680 million and $361 million in the three months ended March 31, 2019 and 2018, respectively, net of recoverables. Catastrophes are an inherent risk of the property and casualty insurance business that have contributed to, and will continue to contribute to, material year-to-year fluctuations in the Company’s results of operations and financial position.</w:t>
      </w:r>
    </w:p>
    <w:p>
      <w:pPr>
        <w:spacing w:after="0" w:line="101"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During the three months ended March 31, 2019, incurred claims and claims expense included $12 million of unfavorable prior year reserve reestimates, decreasing net income. This $12 million unfavorable prior year reserve reestimates included $53 million of unfavorable prior year reserve reestimates related to catastrophes, partially offset by favorable prior year reserve reestimates excluding catastrophes of $41 million.</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40" w:firstLine="324"/>
        <w:spacing w:after="0" w:line="247" w:lineRule="auto"/>
        <w:rPr>
          <w:sz w:val="20"/>
          <w:szCs w:val="20"/>
          <w:color w:val="auto"/>
        </w:rPr>
      </w:pPr>
      <w:r>
        <w:rPr>
          <w:rFonts w:ascii="Arial" w:cs="Arial" w:eastAsia="Arial" w:hAnsi="Arial"/>
          <w:sz w:val="16"/>
          <w:szCs w:val="16"/>
          <w:color w:val="auto"/>
        </w:rPr>
        <w:t>Favorable prior year reserve reestimates excluding catastrophes is comprised of net decreases in reserves of $55 million, primarily due to continued favorable personal lines auto injury coverage development, offset by net increases of $14 million, related to homeowner, commercial lines and discontinued lines and coverages of $7 million, $5 million and $2 million, respectively. Unfavorable catastrophe loss reestimates of $53 million, net of recoverables, included $46 million of unfavorable reestimates related to homeowners and $7 million of unfavorable reestimates, primarily related to other personal lines. The unfavorable catastrophe reestimates included $15 million of reinstatement reinsurance premiums incurred during the period related to the 2018 Camp Fire, which primarily impacted homeowners reestimates.</w:t>
      </w:r>
    </w:p>
    <w:p>
      <w:pPr>
        <w:spacing w:after="0" w:line="504" w:lineRule="exact"/>
        <w:rPr>
          <w:sz w:val="20"/>
          <w:szCs w:val="20"/>
          <w:color w:val="auto"/>
        </w:rPr>
      </w:pPr>
    </w:p>
    <w:p>
      <w:pPr>
        <w:sectPr>
          <w:pgSz w:w="11900" w:h="16838" w:orient="portrait"/>
          <w:cols w:equalWidth="0" w:num="2">
            <w:col w:w="5400" w:space="540"/>
            <w:col w:w="5480"/>
          </w:cols>
          <w:pgMar w:left="240" w:top="141" w:right="2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36 </w:t>
      </w:r>
      <w:r>
        <w:rPr>
          <w:sz w:val="1"/>
          <w:szCs w:val="1"/>
          <w:color w:val="auto"/>
        </w:rPr>
        <w:drawing>
          <wp:inline distT="0" distB="0" distL="0" distR="0">
            <wp:extent cx="111760" cy="1117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40" w:name="page41"/>
    <w:bookmarkEnd w:id="40"/>
    <w:p>
      <w:pPr>
        <w:ind w:left="740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040" w:type="dxa"/>
            <w:vAlign w:val="bottom"/>
            <w:tcBorders>
              <w:bottom w:val="single" w:sz="8" w:color="005BA5"/>
            </w:tcBorders>
          </w:tcPr>
          <w:p>
            <w:pPr>
              <w:ind w:left="40"/>
              <w:spacing w:after="0"/>
              <w:rPr>
                <w:sz w:val="20"/>
                <w:szCs w:val="20"/>
                <w:color w:val="auto"/>
              </w:rPr>
            </w:pPr>
            <w:r>
              <w:rPr>
                <w:rFonts w:ascii="Arial" w:cs="Arial" w:eastAsia="Arial" w:hAnsi="Arial"/>
                <w:sz w:val="20"/>
                <w:szCs w:val="20"/>
                <w:b w:val="1"/>
                <w:bCs w:val="1"/>
                <w:color w:val="005BA5"/>
              </w:rPr>
              <w:t>Note 9</w:t>
            </w:r>
          </w:p>
        </w:tc>
        <w:tc>
          <w:tcPr>
            <w:tcW w:w="7540" w:type="dxa"/>
            <w:vAlign w:val="bottom"/>
            <w:tcBorders>
              <w:bottom w:val="single" w:sz="8" w:color="005BA5"/>
            </w:tcBorders>
            <w:gridSpan w:val="2"/>
          </w:tcPr>
          <w:p>
            <w:pPr>
              <w:ind w:left="140"/>
              <w:spacing w:after="0"/>
              <w:rPr>
                <w:sz w:val="20"/>
                <w:szCs w:val="20"/>
                <w:color w:val="auto"/>
              </w:rPr>
            </w:pPr>
            <w:r>
              <w:rPr>
                <w:rFonts w:ascii="Arial" w:cs="Arial" w:eastAsia="Arial" w:hAnsi="Arial"/>
                <w:sz w:val="20"/>
                <w:szCs w:val="20"/>
                <w:b w:val="1"/>
                <w:bCs w:val="1"/>
                <w:color w:val="auto"/>
              </w:rPr>
              <w:t>Reinsurance</w:t>
            </w:r>
          </w:p>
        </w:tc>
        <w:tc>
          <w:tcPr>
            <w:tcW w:w="240" w:type="dxa"/>
            <w:vAlign w:val="bottom"/>
            <w:tcBorders>
              <w:bottom w:val="single" w:sz="8" w:color="005BA5"/>
            </w:tcBorders>
          </w:tcPr>
          <w:p>
            <w:pPr>
              <w:spacing w:after="0"/>
              <w:rPr>
                <w:sz w:val="23"/>
                <w:szCs w:val="23"/>
                <w:color w:val="auto"/>
              </w:rPr>
            </w:pPr>
          </w:p>
        </w:tc>
        <w:tc>
          <w:tcPr>
            <w:tcW w:w="1140" w:type="dxa"/>
            <w:vAlign w:val="bottom"/>
            <w:tcBorders>
              <w:bottom w:val="single" w:sz="8" w:color="005BA5"/>
            </w:tcBorders>
          </w:tcPr>
          <w:p>
            <w:pPr>
              <w:spacing w:after="0"/>
              <w:rPr>
                <w:sz w:val="23"/>
                <w:szCs w:val="23"/>
                <w:color w:val="auto"/>
              </w:rPr>
            </w:pPr>
          </w:p>
        </w:tc>
        <w:tc>
          <w:tcPr>
            <w:tcW w:w="100" w:type="dxa"/>
            <w:vAlign w:val="bottom"/>
            <w:tcBorders>
              <w:bottom w:val="single" w:sz="8" w:color="005BA5"/>
            </w:tcBorders>
          </w:tcPr>
          <w:p>
            <w:pPr>
              <w:spacing w:after="0"/>
              <w:rPr>
                <w:sz w:val="23"/>
                <w:szCs w:val="23"/>
                <w:color w:val="auto"/>
              </w:rPr>
            </w:pPr>
          </w:p>
        </w:tc>
        <w:tc>
          <w:tcPr>
            <w:tcW w:w="320" w:type="dxa"/>
            <w:vAlign w:val="bottom"/>
            <w:tcBorders>
              <w:bottom w:val="single" w:sz="8" w:color="005BA5"/>
            </w:tcBorders>
          </w:tcPr>
          <w:p>
            <w:pPr>
              <w:spacing w:after="0"/>
              <w:rPr>
                <w:sz w:val="23"/>
                <w:szCs w:val="23"/>
                <w:color w:val="auto"/>
              </w:rPr>
            </w:pPr>
          </w:p>
        </w:tc>
        <w:tc>
          <w:tcPr>
            <w:tcW w:w="1040" w:type="dxa"/>
            <w:vAlign w:val="bottom"/>
            <w:tcBorders>
              <w:bottom w:val="single" w:sz="8" w:color="005BA5"/>
            </w:tcBorders>
          </w:tcPr>
          <w:p>
            <w:pPr>
              <w:spacing w:after="0"/>
              <w:rPr>
                <w:sz w:val="23"/>
                <w:szCs w:val="23"/>
                <w:color w:val="auto"/>
              </w:rPr>
            </w:pPr>
          </w:p>
        </w:tc>
      </w:tr>
      <w:tr>
        <w:trPr>
          <w:trHeight w:val="241"/>
        </w:trPr>
        <w:tc>
          <w:tcPr>
            <w:tcW w:w="8580" w:type="dxa"/>
            <w:vAlign w:val="bottom"/>
            <w:tcBorders>
              <w:bottom w:val="single" w:sz="8" w:color="auto"/>
            </w:tcBorders>
            <w:gridSpan w:val="3"/>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Effects of reinsurance ceded on property and casualty premiums earned and life premiums and contract charges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104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4"/>
          </w:tcPr>
          <w:p>
            <w:pPr>
              <w:spacing w:after="0"/>
              <w:rPr>
                <w:sz w:val="19"/>
                <w:szCs w:val="19"/>
                <w:color w:val="auto"/>
              </w:rPr>
            </w:pPr>
          </w:p>
        </w:tc>
      </w:tr>
      <w:tr>
        <w:trPr>
          <w:trHeight w:val="231"/>
        </w:trPr>
        <w:tc>
          <w:tcPr>
            <w:tcW w:w="104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97"/>
        </w:trPr>
        <w:tc>
          <w:tcPr>
            <w:tcW w:w="104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7420" w:type="dxa"/>
            <w:vAlign w:val="bottom"/>
            <w:tcBorders>
              <w:bottom w:val="single" w:sz="8" w:color="005BA5"/>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005BA5"/>
            </w:tcBorders>
          </w:tcPr>
          <w:p>
            <w:pPr>
              <w:spacing w:after="0"/>
              <w:rPr>
                <w:sz w:val="24"/>
                <w:szCs w:val="24"/>
                <w:color w:val="auto"/>
              </w:rPr>
            </w:pPr>
          </w:p>
        </w:tc>
        <w:tc>
          <w:tcPr>
            <w:tcW w:w="11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320" w:type="dxa"/>
            <w:vAlign w:val="bottom"/>
            <w:tcBorders>
              <w:bottom w:val="single" w:sz="8" w:color="005BA5"/>
            </w:tcBorders>
          </w:tcPr>
          <w:p>
            <w:pPr>
              <w:spacing w:after="0"/>
              <w:rPr>
                <w:sz w:val="24"/>
                <w:szCs w:val="24"/>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Property and casualty insurance premiums earned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Life premiums and contract charges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1040" w:type="dxa"/>
            <w:vAlign w:val="bottom"/>
            <w:tcBorders>
              <w:bottom w:val="single" w:sz="8" w:color="005BA5"/>
            </w:tcBorders>
          </w:tcPr>
          <w:p>
            <w:pPr>
              <w:spacing w:after="0"/>
              <w:rPr>
                <w:sz w:val="2"/>
                <w:szCs w:val="2"/>
                <w:color w:val="auto"/>
              </w:rPr>
            </w:pPr>
          </w:p>
        </w:tc>
        <w:tc>
          <w:tcPr>
            <w:tcW w:w="74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Effects of reinsurance ceded on property and casualty insurance claims and claims expense, life contract benefits and interest credited to contractholder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Property and casualty insurance claims and claims expense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Life contract benefits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Interest credited to contractholder funds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1666AF"/>
        </w:rPr>
        <w:t xml:space="preserve">Reinsurance Recoverables </w:t>
      </w:r>
      <w:r>
        <w:rPr>
          <w:rFonts w:ascii="Arial" w:cs="Arial" w:eastAsia="Arial" w:hAnsi="Arial"/>
          <w:sz w:val="16"/>
          <w:szCs w:val="16"/>
          <w:color w:val="000000"/>
        </w:rPr>
        <w:t>As of March 31, 2019, the Company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$9.37 billion of reinsurance and indemnification recoverables, including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$796 million of reinsurance recoverables for its life insurance business.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$796 million, the Company had $63 million of reinsurance recoverables,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net of an allowance for estimated uncollectible amounts, related to a third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party reinsurer Scottish Re (U.S.), Inc. On December 14, 2018,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Delaware Insurance Commissioner placed Scottish Re (U.S.), Inc. under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regulatory supervision. On March 6, 2019, the Chancery Court of the State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Delaware entered a Rehabilitation and Injunction Order</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“Rehabilitation Order”) in response to a petition filed by the Insurance Commissioner (the “Petition”). Pursuant to the Petition, it is expected that Scottish Re (U.S.), Inc. will submit a Plan of Rehabilitation within a 120-day period from the date of the Rehabilitation Order and will not make payments relating to the claims or losses of ceding insurers during this period. The Company continues to monitor Scottish Re (U.S.), Inc. for future developments and will reevaluate its allowance for uncollectible amounts as new information becomes available.</w:t>
      </w:r>
    </w:p>
    <w:p>
      <w:pPr>
        <w:spacing w:after="0" w:line="375" w:lineRule="exact"/>
        <w:rPr>
          <w:sz w:val="20"/>
          <w:szCs w:val="20"/>
          <w:color w:val="auto"/>
        </w:rPr>
      </w:pPr>
    </w:p>
    <w:p>
      <w:pPr>
        <w:sectPr>
          <w:pgSz w:w="11900" w:h="16838" w:orient="portrait"/>
          <w:cols w:equalWidth="0" w:num="2">
            <w:col w:w="5420" w:space="520"/>
            <w:col w:w="5480"/>
          </w:cols>
          <w:pgMar w:left="240" w:top="141" w:right="239" w:bottom="1440" w:gutter="0" w:footer="0" w:header="0"/>
          <w:type w:val="continuous"/>
        </w:sectPr>
      </w:pPr>
    </w:p>
    <w:p>
      <w:pPr>
        <w:spacing w:after="0" w:line="156"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37</w:t>
      </w:r>
    </w:p>
    <w:p>
      <w:pPr>
        <w:sectPr>
          <w:pgSz w:w="11900" w:h="16838" w:orient="portrait"/>
          <w:cols w:equalWidth="0" w:num="1">
            <w:col w:w="11420"/>
          </w:cols>
          <w:pgMar w:left="240" w:top="141"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10</w:t>
      </w:r>
      <w:r>
        <w:rPr>
          <w:sz w:val="20"/>
          <w:szCs w:val="20"/>
          <w:color w:val="auto"/>
        </w:rPr>
        <w:tab/>
      </w:r>
      <w:r>
        <w:rPr>
          <w:rFonts w:ascii="Arial" w:cs="Arial" w:eastAsia="Arial" w:hAnsi="Arial"/>
          <w:sz w:val="19"/>
          <w:szCs w:val="19"/>
          <w:b w:val="1"/>
          <w:bCs w:val="1"/>
          <w:color w:val="auto"/>
        </w:rPr>
        <w:t>Company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164"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color w:val="auto"/>
        </w:rPr>
        <w:t>The Company undertakes various programs to reduce expenses. These programs generally involve a reduction in staffing levels, and in certain cases, office closures. Restructuring and related charges primarily include the following costs related to these programs:</w:t>
      </w:r>
    </w:p>
    <w:p>
      <w:pPr>
        <w:spacing w:after="0" w:line="79" w:lineRule="exact"/>
        <w:rPr>
          <w:sz w:val="20"/>
          <w:szCs w:val="20"/>
          <w:color w:val="auto"/>
        </w:rPr>
      </w:pPr>
    </w:p>
    <w:p>
      <w:pPr>
        <w:ind w:left="260" w:hanging="171"/>
        <w:spacing w:after="0"/>
        <w:tabs>
          <w:tab w:leader="none" w:pos="260" w:val="left"/>
        </w:tabs>
        <w:numPr>
          <w:ilvl w:val="0"/>
          <w:numId w:val="23"/>
        </w:numPr>
        <w:rPr>
          <w:rFonts w:ascii="Arial" w:cs="Arial" w:eastAsia="Arial" w:hAnsi="Arial"/>
          <w:sz w:val="16"/>
          <w:szCs w:val="16"/>
          <w:color w:val="1666AF"/>
        </w:rPr>
      </w:pPr>
      <w:r>
        <w:rPr>
          <w:rFonts w:ascii="Arial" w:cs="Arial" w:eastAsia="Arial" w:hAnsi="Arial"/>
          <w:sz w:val="16"/>
          <w:szCs w:val="16"/>
          <w:i w:val="1"/>
          <w:iCs w:val="1"/>
          <w:color w:val="1666AF"/>
        </w:rPr>
        <w:t xml:space="preserve">Employee </w:t>
      </w:r>
      <w:r>
        <w:rPr>
          <w:rFonts w:ascii="Arial" w:cs="Arial" w:eastAsia="Arial" w:hAnsi="Arial"/>
          <w:sz w:val="16"/>
          <w:szCs w:val="16"/>
          <w:color w:val="000000"/>
        </w:rPr>
        <w:t>- severance and relocation benefits</w:t>
      </w:r>
    </w:p>
    <w:p>
      <w:pPr>
        <w:spacing w:after="0" w:line="113" w:lineRule="exact"/>
        <w:rPr>
          <w:rFonts w:ascii="Arial" w:cs="Arial" w:eastAsia="Arial" w:hAnsi="Arial"/>
          <w:sz w:val="16"/>
          <w:szCs w:val="16"/>
          <w:color w:val="1666AF"/>
        </w:rPr>
      </w:pPr>
    </w:p>
    <w:p>
      <w:pPr>
        <w:ind w:left="260" w:hanging="171"/>
        <w:spacing w:after="0"/>
        <w:tabs>
          <w:tab w:leader="none" w:pos="260" w:val="left"/>
        </w:tabs>
        <w:numPr>
          <w:ilvl w:val="0"/>
          <w:numId w:val="23"/>
        </w:numPr>
        <w:rPr>
          <w:rFonts w:ascii="Arial" w:cs="Arial" w:eastAsia="Arial" w:hAnsi="Arial"/>
          <w:sz w:val="16"/>
          <w:szCs w:val="16"/>
          <w:color w:val="1666AF"/>
        </w:rPr>
      </w:pPr>
      <w:r>
        <w:rPr>
          <w:rFonts w:ascii="Arial" w:cs="Arial" w:eastAsia="Arial" w:hAnsi="Arial"/>
          <w:sz w:val="16"/>
          <w:szCs w:val="16"/>
          <w:i w:val="1"/>
          <w:iCs w:val="1"/>
          <w:color w:val="1666AF"/>
        </w:rPr>
        <w:t xml:space="preserve">Exit </w:t>
      </w:r>
      <w:r>
        <w:rPr>
          <w:rFonts w:ascii="Arial" w:cs="Arial" w:eastAsia="Arial" w:hAnsi="Arial"/>
          <w:sz w:val="16"/>
          <w:szCs w:val="16"/>
          <w:color w:val="000000"/>
        </w:rPr>
        <w:t>- contract termination penalties</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60" w:firstLine="324"/>
        <w:spacing w:after="0" w:line="249" w:lineRule="auto"/>
        <w:rPr>
          <w:sz w:val="20"/>
          <w:szCs w:val="20"/>
          <w:color w:val="auto"/>
        </w:rPr>
      </w:pPr>
      <w:r>
        <w:rPr>
          <w:rFonts w:ascii="Arial" w:cs="Arial" w:eastAsia="Arial" w:hAnsi="Arial"/>
          <w:sz w:val="16"/>
          <w:szCs w:val="16"/>
          <w:color w:val="auto"/>
        </w:rPr>
        <w:t>The expenses related to these activities are included in the Condensed Consolidated Statements of Operations as restructuring and related charges, and totaled $18 million and $19 million during the three months ended March 31, 2019 and 2018, respectively. Restructuring expenses in 2019 primarily related to realignment of certain employees to centralized talent centers.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283210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5280" w:space="660"/>
            <w:col w:w="5480"/>
          </w:cols>
          <w:pgMar w:left="240" w:top="141" w:right="239" w:bottom="1440" w:gutter="0" w:footer="0" w:header="0"/>
          <w:type w:val="continuous"/>
        </w:sectPr>
      </w:pP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Restructuring activity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Employee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Exit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37"/>
        </w:trPr>
        <w:tc>
          <w:tcPr>
            <w:tcW w:w="69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1040" w:type="dxa"/>
            <w:vAlign w:val="bottom"/>
            <w:tcBorders>
              <w:bottom w:val="single" w:sz="8" w:color="005BA5"/>
            </w:tcBorders>
          </w:tcPr>
          <w:p>
            <w:pPr>
              <w:jc w:val="right"/>
              <w:ind w:right="99"/>
              <w:spacing w:after="0"/>
              <w:rPr>
                <w:sz w:val="20"/>
                <w:szCs w:val="20"/>
                <w:color w:val="auto"/>
              </w:rPr>
            </w:pPr>
            <w:r>
              <w:rPr>
                <w:rFonts w:ascii="Arial" w:cs="Arial" w:eastAsia="Arial" w:hAnsi="Arial"/>
                <w:sz w:val="16"/>
                <w:szCs w:val="16"/>
                <w:b w:val="1"/>
                <w:bCs w:val="1"/>
                <w:color w:val="auto"/>
              </w:rPr>
              <w:t>costs</w:t>
            </w:r>
          </w:p>
        </w:tc>
        <w:tc>
          <w:tcPr>
            <w:tcW w:w="340" w:type="dxa"/>
            <w:vAlign w:val="bottom"/>
            <w:tcBorders>
              <w:bottom w:val="single" w:sz="8" w:color="005BA5"/>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Borders>
              <w:bottom w:val="single" w:sz="8" w:color="005BA5"/>
            </w:tcBorders>
          </w:tcPr>
          <w:p>
            <w:pPr>
              <w:jc w:val="right"/>
              <w:ind w:right="39"/>
              <w:spacing w:after="0"/>
              <w:rPr>
                <w:sz w:val="20"/>
                <w:szCs w:val="20"/>
                <w:color w:val="auto"/>
              </w:rPr>
            </w:pPr>
            <w:r>
              <w:rPr>
                <w:rFonts w:ascii="Arial" w:cs="Arial" w:eastAsia="Arial" w:hAnsi="Arial"/>
                <w:sz w:val="16"/>
                <w:szCs w:val="16"/>
                <w:b w:val="1"/>
                <w:bCs w:val="1"/>
                <w:color w:val="auto"/>
              </w:rPr>
              <w:t>costs</w:t>
            </w:r>
          </w:p>
        </w:tc>
        <w:tc>
          <w:tcPr>
            <w:tcW w:w="380" w:type="dxa"/>
            <w:vAlign w:val="bottom"/>
            <w:tcBorders>
              <w:bottom w:val="single" w:sz="8" w:color="005BA5"/>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1100" w:type="dxa"/>
            <w:vAlign w:val="bottom"/>
            <w:tcBorders>
              <w:bottom w:val="single" w:sz="8" w:color="005BA5"/>
            </w:tcBorders>
          </w:tcPr>
          <w:p>
            <w:pPr>
              <w:jc w:val="right"/>
              <w:ind w:right="319"/>
              <w:spacing w:after="0"/>
              <w:rPr>
                <w:sz w:val="20"/>
                <w:szCs w:val="20"/>
                <w:color w:val="auto"/>
              </w:rPr>
            </w:pPr>
            <w:r>
              <w:rPr>
                <w:rFonts w:ascii="Arial" w:cs="Arial" w:eastAsia="Arial" w:hAnsi="Arial"/>
                <w:sz w:val="16"/>
                <w:szCs w:val="16"/>
                <w:b w:val="1"/>
                <w:bCs w:val="1"/>
                <w:color w:val="auto"/>
              </w:rPr>
              <w:t>liability</w:t>
            </w:r>
          </w:p>
        </w:tc>
      </w:tr>
      <w:tr>
        <w:trPr>
          <w:trHeight w:val="223"/>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Restructuring liability as of December 31, 2018</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9"/>
                <w:szCs w:val="19"/>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Expense incurred</w:t>
            </w:r>
          </w:p>
        </w:tc>
        <w:tc>
          <w:tcPr>
            <w:tcW w:w="104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Adjustments to liability</w:t>
            </w:r>
          </w:p>
        </w:tc>
        <w:tc>
          <w:tcPr>
            <w:tcW w:w="1040" w:type="dxa"/>
            <w:vAlign w:val="bottom"/>
          </w:tcPr>
          <w:p>
            <w:pPr>
              <w:spacing w:after="0"/>
              <w:rPr>
                <w:sz w:val="18"/>
                <w:szCs w:val="18"/>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69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color w:val="auto"/>
              </w:rPr>
              <w:t>Payments</w:t>
            </w:r>
          </w:p>
        </w:tc>
        <w:tc>
          <w:tcPr>
            <w:tcW w:w="10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w w:val="91"/>
              </w:rPr>
              <w:t>(11)</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3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r>
      <w:tr>
        <w:trPr>
          <w:trHeight w:val="217"/>
        </w:trPr>
        <w:tc>
          <w:tcPr>
            <w:tcW w:w="7100" w:type="dxa"/>
            <w:vAlign w:val="bottom"/>
            <w:gridSpan w:val="2"/>
          </w:tcPr>
          <w:p>
            <w:pPr>
              <w:ind w:left="40"/>
              <w:spacing w:after="0"/>
              <w:rPr>
                <w:sz w:val="20"/>
                <w:szCs w:val="20"/>
                <w:color w:val="auto"/>
              </w:rPr>
            </w:pPr>
            <w:r>
              <w:rPr>
                <w:rFonts w:ascii="Arial" w:cs="Arial" w:eastAsia="Arial" w:hAnsi="Arial"/>
                <w:sz w:val="16"/>
                <w:szCs w:val="16"/>
                <w:b w:val="1"/>
                <w:bCs w:val="1"/>
                <w:color w:val="auto"/>
              </w:rPr>
              <w:t>Restructuring liability as of March 31, 2019</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Pr>
          <w:p>
            <w:pPr>
              <w:jc w:val="right"/>
              <w:ind w:right="39"/>
              <w:spacing w:after="0"/>
              <w:rPr>
                <w:sz w:val="20"/>
                <w:szCs w:val="20"/>
                <w:color w:val="auto"/>
              </w:rPr>
            </w:pPr>
            <w:r>
              <w:rPr>
                <w:rFonts w:ascii="Arial" w:cs="Arial" w:eastAsia="Arial" w:hAnsi="Arial"/>
                <w:sz w:val="16"/>
                <w:szCs w:val="16"/>
                <w:b w:val="1"/>
                <w:bCs w:val="1"/>
                <w:color w:val="auto"/>
              </w:rPr>
              <w:t>36</w:t>
            </w:r>
          </w:p>
        </w:tc>
        <w:tc>
          <w:tcPr>
            <w:tcW w:w="140" w:type="dxa"/>
            <w:vAlign w:val="bottom"/>
          </w:tcPr>
          <w:p>
            <w:pPr>
              <w:spacing w:after="0"/>
              <w:rPr>
                <w:sz w:val="18"/>
                <w:szCs w:val="18"/>
                <w:color w:val="auto"/>
              </w:rPr>
            </w:pPr>
          </w:p>
        </w:tc>
        <w:tc>
          <w:tcPr>
            <w:tcW w:w="960" w:type="dxa"/>
            <w:vAlign w:val="bottom"/>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380" w:type="dxa"/>
            <w:vAlign w:val="bottom"/>
          </w:tcPr>
          <w:p>
            <w:pPr>
              <w:jc w:val="right"/>
              <w:ind w:right="19"/>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47</w:t>
            </w:r>
          </w:p>
        </w:tc>
      </w:tr>
      <w:tr>
        <w:trPr>
          <w:trHeight w:val="33"/>
        </w:trPr>
        <w:tc>
          <w:tcPr>
            <w:tcW w:w="69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3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r>
    </w:tbl>
    <w:p>
      <w:pPr>
        <w:spacing w:after="0" w:line="380" w:lineRule="exact"/>
        <w:rPr>
          <w:sz w:val="20"/>
          <w:szCs w:val="20"/>
          <w:color w:val="auto"/>
        </w:rPr>
      </w:pPr>
    </w:p>
    <w:p>
      <w:pPr>
        <w:ind w:right="260" w:firstLine="324"/>
        <w:spacing w:after="0" w:line="260" w:lineRule="auto"/>
        <w:rPr>
          <w:sz w:val="20"/>
          <w:szCs w:val="20"/>
          <w:color w:val="auto"/>
        </w:rPr>
      </w:pPr>
      <w:r>
        <w:rPr>
          <w:rFonts w:ascii="Arial" w:cs="Arial" w:eastAsia="Arial" w:hAnsi="Arial"/>
          <w:sz w:val="16"/>
          <w:szCs w:val="16"/>
          <w:color w:val="auto"/>
        </w:rPr>
        <w:t>As of March 31, 2019, the cumulative amount incurred to date for active programs related to employee severance, relocation benefits and post-exit rent expenses totaled $96 million for employee costs and $8 million for exit costs.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38 </w:t>
      </w:r>
      <w:r>
        <w:rPr>
          <w:sz w:val="1"/>
          <w:szCs w:val="1"/>
          <w:color w:val="auto"/>
        </w:rPr>
        <w:drawing>
          <wp:inline distT="0" distB="0" distL="0" distR="0">
            <wp:extent cx="111760" cy="1117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11</w:t>
      </w:r>
      <w:r>
        <w:rPr>
          <w:sz w:val="20"/>
          <w:szCs w:val="20"/>
          <w:color w:val="auto"/>
        </w:rPr>
        <w:tab/>
      </w:r>
      <w:r>
        <w:rPr>
          <w:rFonts w:ascii="Arial" w:cs="Arial" w:eastAsia="Arial" w:hAnsi="Arial"/>
          <w:sz w:val="19"/>
          <w:szCs w:val="19"/>
          <w:b w:val="1"/>
          <w:bCs w:val="1"/>
          <w:color w:val="auto"/>
        </w:rPr>
        <w:t>Guarantees and Contingent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Shared markets and state facility assessments</w:t>
      </w:r>
    </w:p>
    <w:p>
      <w:pPr>
        <w:spacing w:after="0" w:line="214" w:lineRule="exact"/>
        <w:rPr>
          <w:sz w:val="20"/>
          <w:szCs w:val="20"/>
          <w:color w:val="auto"/>
        </w:rPr>
      </w:pPr>
    </w:p>
    <w:p>
      <w:pPr>
        <w:ind w:right="100" w:firstLine="324"/>
        <w:spacing w:after="0" w:line="251" w:lineRule="auto"/>
        <w:rPr>
          <w:sz w:val="20"/>
          <w:szCs w:val="20"/>
          <w:color w:val="auto"/>
        </w:rPr>
      </w:pPr>
      <w:r>
        <w:rPr>
          <w:rFonts w:ascii="Arial" w:cs="Arial" w:eastAsia="Arial" w:hAnsi="Arial"/>
          <w:sz w:val="16"/>
          <w:szCs w:val="16"/>
          <w:color w:val="auto"/>
        </w:rPr>
        <w:t>The Company is required to participate in assigned risk plans, reinsurance facilities and joint underwriting associations in various states that provide insurance coverage to individuals or entities that otherwise are unable to purchase such coverage from private insurers.</w:t>
      </w:r>
    </w:p>
    <w:p>
      <w:pPr>
        <w:spacing w:after="0" w:line="95" w:lineRule="exact"/>
        <w:rPr>
          <w:sz w:val="20"/>
          <w:szCs w:val="20"/>
          <w:color w:val="auto"/>
        </w:rPr>
      </w:pPr>
    </w:p>
    <w:p>
      <w:pPr>
        <w:ind w:right="320" w:firstLine="324"/>
        <w:spacing w:after="0" w:line="249" w:lineRule="auto"/>
        <w:rPr>
          <w:sz w:val="20"/>
          <w:szCs w:val="20"/>
          <w:color w:val="auto"/>
        </w:rPr>
      </w:pPr>
      <w:r>
        <w:rPr>
          <w:rFonts w:ascii="Arial" w:cs="Arial" w:eastAsia="Arial" w:hAnsi="Arial"/>
          <w:sz w:val="16"/>
          <w:szCs w:val="16"/>
          <w:color w:val="auto"/>
        </w:rPr>
        <w:t>The Company routinely reviews its exposure to assessments from these plans, facilities and government programs. Underwriting results related to these arrangements, which tend to be adverse, have been immaterial to the Company’s results of operations. Because of the Company’s participation, it may be exposed to losses that surpass the capitalization of these facilities and/or assessments from these facilities.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Guarantees</w:t>
      </w:r>
    </w:p>
    <w:p>
      <w:pPr>
        <w:spacing w:after="0" w:line="133" w:lineRule="exact"/>
        <w:rPr>
          <w:sz w:val="20"/>
          <w:szCs w:val="20"/>
          <w:color w:val="auto"/>
        </w:rPr>
      </w:pPr>
    </w:p>
    <w:p>
      <w:pPr>
        <w:ind w:right="40" w:firstLine="324"/>
        <w:spacing w:after="0" w:line="248" w:lineRule="auto"/>
        <w:rPr>
          <w:sz w:val="20"/>
          <w:szCs w:val="20"/>
          <w:color w:val="auto"/>
        </w:rPr>
      </w:pPr>
      <w:r>
        <w:rPr>
          <w:rFonts w:ascii="Arial" w:cs="Arial" w:eastAsia="Arial" w:hAnsi="Arial"/>
          <w:sz w:val="16"/>
          <w:szCs w:val="16"/>
          <w:color w:val="auto"/>
        </w:rPr>
        <w:t>Related to the sale of Lincoln Benefit Life Company on April 1, 2014, ALIC agreed to indemnify Resolution Life Holdings, Inc. in connection with certain representations, warranties and covenants of ALIC, and certain liabilities specifically excluded from the transaction, subject to specific contractual limitations regarding ALIC’s maximum obligation. Management does not believe these indemnifications will have a material effect on results of operations, cash flows or financial position of the Company.</w:t>
      </w:r>
    </w:p>
    <w:p>
      <w:pPr>
        <w:spacing w:after="0" w:line="101"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Related to the disposal through reinsurance of substantially all of its variable annuity business to Prudential in 2006, the Company and its consolidated subsidiaries, ALIC and ALNY, have agreed to indemnify Prudential for certain pre-closing contingent liabilities (including extra-contractual liabilities of ALIC and ALNY and liabilities specifically excluded from the transaction) that ALIC and ALNY have agreed to retain. In addition, the Company, ALIC and ALNY will each indemnify Prudential for certain post-closing liabilities that may arise from the acts of ALIC, ALNY and their agents, including certain liabilities arising from ALIC’s and ALNY’s provision of transition services. The reinsurance agreements contain no limitations or indemnifications with regard to insurance risk transfer and transferred all of the future risks and responsibilities for performance on the underlying variable annuity contracts to Prudential, including those related to benefit guarantees. Management does not believe this agreement will have a material effect on results of operations, cash flows or financial position of the Company.</w:t>
      </w:r>
    </w:p>
    <w:p>
      <w:pPr>
        <w:spacing w:after="0" w:line="104" w:lineRule="exact"/>
        <w:rPr>
          <w:sz w:val="20"/>
          <w:szCs w:val="20"/>
          <w:color w:val="auto"/>
        </w:rPr>
      </w:pPr>
    </w:p>
    <w:p>
      <w:pPr>
        <w:ind w:right="120" w:firstLine="324"/>
        <w:spacing w:after="0" w:line="248" w:lineRule="auto"/>
        <w:rPr>
          <w:sz w:val="20"/>
          <w:szCs w:val="20"/>
          <w:color w:val="auto"/>
        </w:rPr>
      </w:pPr>
      <w:r>
        <w:rPr>
          <w:rFonts w:ascii="Arial" w:cs="Arial" w:eastAsia="Arial" w:hAnsi="Arial"/>
          <w:sz w:val="16"/>
          <w:szCs w:val="16"/>
          <w:color w:val="auto"/>
        </w:rPr>
        <w:t>In the normal course of business, the Company provides standard indemnifications to contractual counterparties in connection with numerous transactions, including acquisitions and divestitures. The types of indemnifications typically provided include indemnifications for breaches of representations and warranties, taxes and certain other liabilities, such as third party lawsuits. The indemnification clauses are often standard contractual terms and are entered into in the normal course of business based on an assessment that the risk of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would be remote. The terms of the indemnifications vary in duration and nature. In many cases, the maximum obligation is not explicitly stated and the contingencies triggering the obligation to indemnify have not occurred and are not expected to occur. Consequently, the maximum amount of the obligation under such indemnifications is not determinable. Historically, the Company has not made any material payments pursuant to these obligations.</w:t>
      </w:r>
    </w:p>
    <w:p>
      <w:pPr>
        <w:spacing w:after="0" w:line="101" w:lineRule="exact"/>
        <w:rPr>
          <w:sz w:val="20"/>
          <w:szCs w:val="20"/>
          <w:color w:val="auto"/>
        </w:rPr>
      </w:pPr>
    </w:p>
    <w:p>
      <w:pPr>
        <w:ind w:right="560" w:firstLine="324"/>
        <w:spacing w:after="0" w:line="260" w:lineRule="auto"/>
        <w:rPr>
          <w:sz w:val="20"/>
          <w:szCs w:val="20"/>
          <w:color w:val="auto"/>
        </w:rPr>
      </w:pPr>
      <w:r>
        <w:rPr>
          <w:rFonts w:ascii="Arial" w:cs="Arial" w:eastAsia="Arial" w:hAnsi="Arial"/>
          <w:sz w:val="16"/>
          <w:szCs w:val="16"/>
          <w:color w:val="auto"/>
        </w:rPr>
        <w:t>The aggregate liability balance related to all guarantees was not material as of March 31, 2019.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Regulation and compliance</w:t>
      </w:r>
    </w:p>
    <w:p>
      <w:pPr>
        <w:spacing w:after="0" w:line="133"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The Company is subject to extensive laws, regulations, administrative directives, and regulatory actions. From time to time, regulatory authorities or legislative bodies seek to influence and restrict premium rates, require premium refunds to policyholders, require reinstatement of terminated policies, prescribe rules or guidelines on how affiliates compete in the marketplace, restrict the ability of insurers to cancel or non-renew policies, require insurers to continue to write new policies or limit their ability to write new policies, limit insurers’ ability to change coverage terms or to impose underwriting standards, impose additional regulations regarding agency and broker compensation, regulate the nature of and amount of investments, impose fines and penalties for unintended errors or mistakes, impose additional regulations regarding cybersecurity and privacy, and otherwise expand overall regulation of insurance products and the insurance industry. In addition, the Company is subject to laws and regulations administered and enforced by federal agencies, international agencies, and other organizations, including but not limited to the Securities and Exchange Commission (“SEC”), the Financial Industry Regulatory Authority, the U.S. Equal Employment Opportunity Commission, and the U.S. Department of Justice. The Company has established procedures and policies to facilitate compliance with laws and regulations, to foster prudent business operations, and to support financial reporting. The Company routinely reviews its practices to validate compliance with laws and regulations and with internal procedures and policies. As a result of these reviews, from time to time the Company may decide to modify some of its procedures and policies. Such modifications, and the reviews that led to them, may be accompanied by payments being made and costs being incurred. The ultimate changes and eventual effects of these actions on the Company’s business, if any, are uncertain.</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Legal and regulatory proceedings and inquiries</w:t>
      </w:r>
    </w:p>
    <w:p>
      <w:pPr>
        <w:spacing w:after="0" w:line="133" w:lineRule="exact"/>
        <w:rPr>
          <w:sz w:val="20"/>
          <w:szCs w:val="20"/>
          <w:color w:val="auto"/>
        </w:rPr>
      </w:pPr>
    </w:p>
    <w:p>
      <w:pPr>
        <w:jc w:val="both"/>
        <w:ind w:right="380" w:firstLine="324"/>
        <w:spacing w:after="0" w:line="253" w:lineRule="auto"/>
        <w:rPr>
          <w:sz w:val="20"/>
          <w:szCs w:val="20"/>
          <w:color w:val="auto"/>
        </w:rPr>
      </w:pPr>
      <w:r>
        <w:rPr>
          <w:rFonts w:ascii="Arial" w:cs="Arial" w:eastAsia="Arial" w:hAnsi="Arial"/>
          <w:sz w:val="16"/>
          <w:szCs w:val="16"/>
          <w:color w:val="auto"/>
        </w:rPr>
        <w:t>The Company and certain subsidiaries are involved in a number of lawsuits, regulatory inquiries, and other legal proceedings arising out of various aspects of its business.</w:t>
      </w:r>
    </w:p>
    <w:p>
      <w:pPr>
        <w:spacing w:after="0" w:line="200"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137"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39</w:t>
      </w:r>
    </w:p>
    <w:p>
      <w:pPr>
        <w:sectPr>
          <w:pgSz w:w="11900" w:h="16838" w:orient="portrait"/>
          <w:cols w:equalWidth="0" w:num="1">
            <w:col w:w="11420"/>
          </w:cols>
          <w:pgMar w:left="240" w:top="141"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29" w:lineRule="exact"/>
        <w:rPr>
          <w:sz w:val="20"/>
          <w:szCs w:val="20"/>
          <w:color w:val="auto"/>
        </w:rPr>
      </w:pPr>
    </w:p>
    <w:p>
      <w:pPr>
        <w:ind w:right="140" w:firstLine="324"/>
        <w:spacing w:after="0" w:line="249" w:lineRule="auto"/>
        <w:rPr>
          <w:sz w:val="20"/>
          <w:szCs w:val="20"/>
          <w:color w:val="auto"/>
        </w:rPr>
      </w:pPr>
      <w:r>
        <w:rPr>
          <w:rFonts w:ascii="Arial" w:cs="Arial" w:eastAsia="Arial" w:hAnsi="Arial"/>
          <w:sz w:val="16"/>
          <w:szCs w:val="16"/>
          <w:i w:val="1"/>
          <w:iCs w:val="1"/>
          <w:color w:val="1666AF"/>
        </w:rPr>
        <w:t xml:space="preserve">Background </w:t>
      </w:r>
      <w:r>
        <w:rPr>
          <w:rFonts w:ascii="Arial" w:cs="Arial" w:eastAsia="Arial" w:hAnsi="Arial"/>
          <w:sz w:val="16"/>
          <w:szCs w:val="16"/>
          <w:color w:val="000000"/>
        </w:rPr>
        <w:t>These matters raise difficult and complicated factual and</w:t>
      </w:r>
      <w:r>
        <w:rPr>
          <w:rFonts w:ascii="Arial" w:cs="Arial" w:eastAsia="Arial" w:hAnsi="Arial"/>
          <w:sz w:val="16"/>
          <w:szCs w:val="16"/>
          <w:i w:val="1"/>
          <w:iCs w:val="1"/>
          <w:color w:val="1666AF"/>
        </w:rPr>
        <w:t xml:space="preserve"> </w:t>
      </w:r>
      <w:r>
        <w:rPr>
          <w:rFonts w:ascii="Arial" w:cs="Arial" w:eastAsia="Arial" w:hAnsi="Arial"/>
          <w:sz w:val="16"/>
          <w:szCs w:val="16"/>
          <w:color w:val="000000"/>
        </w:rPr>
        <w:t>legal issues and are subject to many uncertainties and complexities, including the underlying facts of each matter; novel legal issues; variations between jurisdictions in which matters are being litigated, heard, or investigated; changes in assigned judges; differences or developments in applicable laws and judicial interpretations; judges reconsidering prior rulings; the length of time before many of these matters might be resolved by settlement, through litigation, or otherwise; adjustments with respect to anticipated trial schedules and other proceedings; developments in similar actions against other companies; the fact that some of the lawsuits are putative class actions in which a class has not been certified and in which the purported class may not be clearly defined; the fact that some of the lawsuits involve multi-state class actions in which the applicable law(s) for the claims at issue is in dispute and therefore unclear; and the challenging legal environment faced by corporations and insurance companies.</w:t>
      </w:r>
    </w:p>
    <w:p>
      <w:pPr>
        <w:spacing w:after="0" w:line="97"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The outcome of these matters may be affected by decisions, verdicts, and settlements, and the timing of such decisions, verdicts, and settlements, in other individual and class action lawsuits that involve the Company, other insurers, or other entities and by other legal, governmental, and regulatory actions that involve the Company, other insurers, or other entities. The outcome may also be affected by future state or federal legislation, the timing or substance of which cannot be predicted.</w:t>
      </w:r>
    </w:p>
    <w:p>
      <w:pPr>
        <w:spacing w:after="0" w:line="101" w:lineRule="exact"/>
        <w:rPr>
          <w:sz w:val="20"/>
          <w:szCs w:val="20"/>
          <w:color w:val="auto"/>
        </w:rPr>
      </w:pPr>
    </w:p>
    <w:p>
      <w:pPr>
        <w:ind w:right="80" w:firstLine="324"/>
        <w:spacing w:after="0" w:line="247" w:lineRule="auto"/>
        <w:rPr>
          <w:sz w:val="20"/>
          <w:szCs w:val="20"/>
          <w:color w:val="auto"/>
        </w:rPr>
      </w:pPr>
      <w:r>
        <w:rPr>
          <w:rFonts w:ascii="Arial" w:cs="Arial" w:eastAsia="Arial" w:hAnsi="Arial"/>
          <w:sz w:val="16"/>
          <w:szCs w:val="16"/>
          <w:color w:val="auto"/>
        </w:rPr>
        <w:t>In the lawsuits, plaintiffs seek a variety of remedies which may include equitable relief in the form of injunctive and other remedies and monetary relief in the form of contractual and extra-contractual damages. In some cases, the monetary damages sought may include punitive or treble damages. Often specific information about the relief sought, such as the amount of damages, is not available because plaintiffs have not requested specific relief in their pleadings. When specific monetary demands are made, they are often set just below a state court jurisdictional limit in order to seek the maximum amount available in state court, regardless of the specifics of the case, while still avoiding the risk of removal to federal court. In Allstate’s experience, monetary demands in pleadings bear little relation to the ultimate loss, if any, to the Company.</w:t>
      </w:r>
    </w:p>
    <w:p>
      <w:pPr>
        <w:spacing w:after="0" w:line="105" w:lineRule="exact"/>
        <w:rPr>
          <w:sz w:val="20"/>
          <w:szCs w:val="20"/>
          <w:color w:val="auto"/>
        </w:rPr>
      </w:pPr>
    </w:p>
    <w:p>
      <w:pPr>
        <w:ind w:right="20" w:firstLine="324"/>
        <w:spacing w:after="0" w:line="250" w:lineRule="auto"/>
        <w:rPr>
          <w:sz w:val="20"/>
          <w:szCs w:val="20"/>
          <w:color w:val="auto"/>
        </w:rPr>
      </w:pPr>
      <w:r>
        <w:rPr>
          <w:rFonts w:ascii="Arial" w:cs="Arial" w:eastAsia="Arial" w:hAnsi="Arial"/>
          <w:sz w:val="16"/>
          <w:szCs w:val="16"/>
          <w:color w:val="auto"/>
        </w:rPr>
        <w:t>In connection with regulatory examinations and proceedings, government authorities may seek various forms of relief, including penalties, restitution, and changes in business practices. The Company may not be advised of the nature and extent of relief sought until the final stages of the examination or proceeding.</w:t>
      </w:r>
    </w:p>
    <w:p>
      <w:pPr>
        <w:spacing w:after="0" w:line="79" w:lineRule="exact"/>
        <w:rPr>
          <w:sz w:val="20"/>
          <w:szCs w:val="20"/>
          <w:color w:val="auto"/>
        </w:rPr>
      </w:pPr>
    </w:p>
    <w:p>
      <w:pPr>
        <w:ind w:right="20" w:firstLine="324"/>
        <w:spacing w:after="0" w:line="253" w:lineRule="auto"/>
        <w:rPr>
          <w:sz w:val="20"/>
          <w:szCs w:val="20"/>
          <w:color w:val="auto"/>
        </w:rPr>
      </w:pPr>
      <w:r>
        <w:rPr>
          <w:rFonts w:ascii="Arial" w:cs="Arial" w:eastAsia="Arial" w:hAnsi="Arial"/>
          <w:sz w:val="16"/>
          <w:szCs w:val="16"/>
          <w:i w:val="1"/>
          <w:iCs w:val="1"/>
          <w:color w:val="1666AF"/>
        </w:rPr>
        <w:t xml:space="preserve">Accrual and disclosure policy </w:t>
      </w:r>
      <w:r>
        <w:rPr>
          <w:rFonts w:ascii="Arial" w:cs="Arial" w:eastAsia="Arial" w:hAnsi="Arial"/>
          <w:sz w:val="16"/>
          <w:szCs w:val="16"/>
          <w:color w:val="000000"/>
        </w:rPr>
        <w:t>The Company reviews its lawsuits,</w:t>
      </w:r>
      <w:r>
        <w:rPr>
          <w:rFonts w:ascii="Arial" w:cs="Arial" w:eastAsia="Arial" w:hAnsi="Arial"/>
          <w:sz w:val="16"/>
          <w:szCs w:val="16"/>
          <w:i w:val="1"/>
          <w:iCs w:val="1"/>
          <w:color w:val="1666AF"/>
        </w:rPr>
        <w:t xml:space="preserve"> </w:t>
      </w:r>
      <w:r>
        <w:rPr>
          <w:rFonts w:ascii="Arial" w:cs="Arial" w:eastAsia="Arial" w:hAnsi="Arial"/>
          <w:sz w:val="16"/>
          <w:szCs w:val="16"/>
          <w:color w:val="000000"/>
        </w:rPr>
        <w:t>regulatory inquiries, and other legal proceedings on an ongoing basis and follows appropriate accounting guidance when making accrual and disclosure decisions. The Company establishes accruals for such matters at management’s best estimate when the Company assesses that it is probable that a loss has been incurred and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40 </w:t>
      </w:r>
      <w:r>
        <w:rPr>
          <w:sz w:val="1"/>
          <w:szCs w:val="1"/>
          <w:color w:val="auto"/>
        </w:rPr>
        <w:drawing>
          <wp:inline distT="0" distB="0" distL="0" distR="0">
            <wp:extent cx="111760" cy="1117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of the loss can be reasonably estimated. The Company does not establish accruals for such matters when the Company does not believe both that it is probable that a loss has been incurred and the amount of the loss can be reasonably estimated. The Company’s assessment of whether a loss is reasonably possible or probable is based on its assessment of the ultimate outcome of the matter following all appeals. The Company does not include potential recoveries in its estimates of reasonably possible or probable losses. Legal fees are expensed as incurred.</w:t>
      </w:r>
    </w:p>
    <w:p>
      <w:pPr>
        <w:spacing w:after="0" w:line="100"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The Company continues to monitor its lawsuits, regulatory inquiries, and other legal proceedings for further developments that would make the loss contingency both probable and estimable, and accordingly accruable, or that could affect the amount of accruals that have been previously established. There may continue to be exposure to loss in excess of any amount accrued. Disclosure of the nature and amount of an accrual is made when there have been sufficient legal and factual developments such that the Company’s ability to resolve the matter would not be impaired by the disclosure of the amount of accrual.</w:t>
      </w:r>
    </w:p>
    <w:p>
      <w:pPr>
        <w:spacing w:after="0" w:line="99" w:lineRule="exact"/>
        <w:rPr>
          <w:sz w:val="20"/>
          <w:szCs w:val="20"/>
          <w:color w:val="auto"/>
        </w:rPr>
      </w:pPr>
    </w:p>
    <w:p>
      <w:pPr>
        <w:ind w:right="40" w:firstLine="324"/>
        <w:spacing w:after="0" w:line="249" w:lineRule="auto"/>
        <w:rPr>
          <w:sz w:val="20"/>
          <w:szCs w:val="20"/>
          <w:color w:val="auto"/>
        </w:rPr>
      </w:pPr>
      <w:r>
        <w:rPr>
          <w:rFonts w:ascii="Arial" w:cs="Arial" w:eastAsia="Arial" w:hAnsi="Arial"/>
          <w:sz w:val="16"/>
          <w:szCs w:val="16"/>
          <w:color w:val="auto"/>
        </w:rPr>
        <w:t>When the Company assesses it is reasonably possible or probable that a loss has been incurred, it discloses the matter. When it is possible to estimate the reasonably possible loss or range of loss above the amount accrued, if any, for the matters disclosed, that estimate is aggregated and disclosed. Disclosure is not required when an estimate of the reasonably possible loss or range of loss cannot be made.</w:t>
      </w:r>
    </w:p>
    <w:p>
      <w:pPr>
        <w:spacing w:after="0" w:line="97" w:lineRule="exact"/>
        <w:rPr>
          <w:sz w:val="20"/>
          <w:szCs w:val="20"/>
          <w:color w:val="auto"/>
        </w:rPr>
      </w:pPr>
    </w:p>
    <w:p>
      <w:pPr>
        <w:ind w:right="80" w:firstLine="324"/>
        <w:spacing w:after="0" w:line="248" w:lineRule="auto"/>
        <w:rPr>
          <w:sz w:val="20"/>
          <w:szCs w:val="20"/>
          <w:color w:val="auto"/>
        </w:rPr>
      </w:pPr>
      <w:r>
        <w:rPr>
          <w:rFonts w:ascii="Arial" w:cs="Arial" w:eastAsia="Arial" w:hAnsi="Arial"/>
          <w:sz w:val="16"/>
          <w:szCs w:val="16"/>
          <w:color w:val="auto"/>
        </w:rPr>
        <w:t>For certain of the matters described below in the “Claims related proceedings” and “Other proceedings” subsections, the Company is able to estimate the reasonably possible loss or range of loss above the amount accrued, if any. In determining whether it is possible to estimate the reasonably possible loss or range of loss, the Company reviews and evaluates the disclosed matters, in conjunction with counsel, in light of potentially relevant factual and legal developments.</w:t>
      </w:r>
    </w:p>
    <w:p>
      <w:pPr>
        <w:spacing w:after="0" w:line="101" w:lineRule="exact"/>
        <w:rPr>
          <w:sz w:val="20"/>
          <w:szCs w:val="20"/>
          <w:color w:val="auto"/>
        </w:rPr>
      </w:pPr>
    </w:p>
    <w:p>
      <w:pPr>
        <w:ind w:right="20" w:firstLine="324"/>
        <w:spacing w:after="0" w:line="247" w:lineRule="auto"/>
        <w:rPr>
          <w:sz w:val="20"/>
          <w:szCs w:val="20"/>
          <w:color w:val="auto"/>
        </w:rPr>
      </w:pPr>
      <w:r>
        <w:rPr>
          <w:rFonts w:ascii="Arial" w:cs="Arial" w:eastAsia="Arial" w:hAnsi="Arial"/>
          <w:sz w:val="16"/>
          <w:szCs w:val="16"/>
          <w:color w:val="auto"/>
        </w:rPr>
        <w:t>These developments may include information learned through the discovery process, rulings on dispositive motions, settlement discussions, information obtained from other sources, experience from managing these and other matters, and other rulings by courts, arbitrators or others. When the Company possesses sufficient appropriate information to develop an estimate of the reasonably possible loss or range of loss above the amount accrued, if any, that estimate is aggregated and disclosed below. There may be other disclosed matters for which a loss is probable or reasonably possible, but such an estimate is not possible. Disclosure of the estimate of the reasonably possible loss or range of loss above the amount accrued, if any, for any individual matter would only be considered when there have been sufficient legal and factual developments such that the Company’s ability to resolve the matter would not be impaired by the disclosure of the individual estimate.</w:t>
      </w:r>
    </w:p>
    <w:p>
      <w:pPr>
        <w:spacing w:after="0" w:line="104" w:lineRule="exact"/>
        <w:rPr>
          <w:sz w:val="20"/>
          <w:szCs w:val="20"/>
          <w:color w:val="auto"/>
        </w:rPr>
      </w:pPr>
    </w:p>
    <w:p>
      <w:pPr>
        <w:ind w:right="300" w:firstLine="324"/>
        <w:spacing w:after="0" w:line="253" w:lineRule="auto"/>
        <w:rPr>
          <w:sz w:val="20"/>
          <w:szCs w:val="20"/>
          <w:color w:val="auto"/>
        </w:rPr>
      </w:pPr>
      <w:r>
        <w:rPr>
          <w:rFonts w:ascii="Arial" w:cs="Arial" w:eastAsia="Arial" w:hAnsi="Arial"/>
          <w:sz w:val="16"/>
          <w:szCs w:val="16"/>
          <w:color w:val="auto"/>
        </w:rPr>
        <w:t>The Company currently estimates that the aggregate range of reasonably possible loss in excess of the amount accrued, if any, for the disclosed matters</w:t>
      </w:r>
    </w:p>
    <w:p>
      <w:pPr>
        <w:sectPr>
          <w:pgSz w:w="11900" w:h="16838" w:orient="portrait"/>
          <w:cols w:equalWidth="0" w:num="2">
            <w:col w:w="5480" w:space="460"/>
            <w:col w:w="5460"/>
          </w:cols>
          <w:pgMar w:left="240" w:top="141" w:right="25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where such an estimate is possible is zero to $100 million, pre-tax. This disclosure is not an indication of expected loss, if any. Under accounting guidance, an event is “reasonably possible” if “the chance of the future event or events occurring is more than remote but less than likely” and an event is “remote” if “the chance of the future event or events occurring is slight.” This estimate is based upon currently available information and is subject to significant judgment and a variety of assumptions, and known and unknown uncertainties. The matters underlying the estimate will change from time to time, and actual results may vary significantly from the current estimate. The estimate does not include matters or losses for which an estimate is not possible. Therefore, this estimate represents an estimate of possible loss only for certain matters meeting these criteria. It does not represent the Company’s maximum possible loss exposure. Information is provided below regarding the nature of all of the disclosed matters and, where specified, the amount, if any, of plaintiff claims associated with these loss contingencies.</w:t>
      </w:r>
    </w:p>
    <w:p>
      <w:pPr>
        <w:spacing w:after="0" w:line="293"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Due to the complexity and scope of the matters disclosed in the “Claims related proceedings” and “Other proceedings” subsections below and the many uncertainties that exist, the ultimate outcome of these matters cannot be predicted and in the Company’s judgment, a loss, in excess of amounts accrued, if any, is not probable. In the event of an unfavorable outcome in one or more of these matters, the ultimate liability may be in excess of amounts currently accrued, if any, and may be material to the Company’s operating results or cash flows for a particular quarterly or annual period. However, based on information currently known to it, management believes that the ultimate outcome of all matters described below, as they are resolved over time, is not likely to have a material effect on the financial position of the Company.</w:t>
      </w:r>
    </w:p>
    <w:p>
      <w:pPr>
        <w:spacing w:after="0" w:line="89" w:lineRule="exact"/>
        <w:rPr>
          <w:sz w:val="20"/>
          <w:szCs w:val="20"/>
          <w:color w:val="auto"/>
        </w:rPr>
      </w:pPr>
    </w:p>
    <w:p>
      <w:pPr>
        <w:ind w:right="160" w:firstLine="324"/>
        <w:spacing w:after="0" w:line="250" w:lineRule="auto"/>
        <w:rPr>
          <w:sz w:val="20"/>
          <w:szCs w:val="20"/>
          <w:color w:val="auto"/>
        </w:rPr>
      </w:pPr>
      <w:r>
        <w:rPr>
          <w:rFonts w:ascii="Arial" w:cs="Arial" w:eastAsia="Arial" w:hAnsi="Arial"/>
          <w:sz w:val="16"/>
          <w:szCs w:val="16"/>
          <w:i w:val="1"/>
          <w:iCs w:val="1"/>
          <w:color w:val="1666AF"/>
        </w:rPr>
        <w:t xml:space="preserve">Claims related proceedings </w:t>
      </w:r>
      <w:r>
        <w:rPr>
          <w:rFonts w:ascii="Arial" w:cs="Arial" w:eastAsia="Arial" w:hAnsi="Arial"/>
          <w:sz w:val="16"/>
          <w:szCs w:val="16"/>
          <w:color w:val="000000"/>
        </w:rPr>
        <w:t>The Company is managing various</w:t>
      </w:r>
      <w:r>
        <w:rPr>
          <w:rFonts w:ascii="Arial" w:cs="Arial" w:eastAsia="Arial" w:hAnsi="Arial"/>
          <w:sz w:val="16"/>
          <w:szCs w:val="16"/>
          <w:i w:val="1"/>
          <w:iCs w:val="1"/>
          <w:color w:val="1666AF"/>
        </w:rPr>
        <w:t xml:space="preserve"> </w:t>
      </w:r>
      <w:r>
        <w:rPr>
          <w:rFonts w:ascii="Arial" w:cs="Arial" w:eastAsia="Arial" w:hAnsi="Arial"/>
          <w:sz w:val="16"/>
          <w:szCs w:val="16"/>
          <w:color w:val="000000"/>
        </w:rPr>
        <w:t>disputes in Florida that raise challenges to the Company’s practices, processes, and procedures relating to claims for personal injury protection benefits under Florida auto policies. Medical providers continue to pursue litigation under various theories that challenge the amounts that the Company pays under the personal injury protection benefits. There are pending putative class actions and litigation involving individual plaintiffs. The Company is vigorously asserting both procedural and substantive defenses to these lawsuits.</w:t>
      </w:r>
    </w:p>
    <w:p>
      <w:pPr>
        <w:spacing w:after="0" w:line="85" w:lineRule="exact"/>
        <w:rPr>
          <w:sz w:val="20"/>
          <w:szCs w:val="20"/>
          <w:color w:val="auto"/>
        </w:rPr>
      </w:pPr>
    </w:p>
    <w:p>
      <w:pPr>
        <w:ind w:right="20" w:firstLine="324"/>
        <w:spacing w:after="0" w:line="250" w:lineRule="auto"/>
        <w:rPr>
          <w:sz w:val="20"/>
          <w:szCs w:val="20"/>
          <w:color w:val="auto"/>
        </w:rPr>
      </w:pPr>
      <w:r>
        <w:rPr>
          <w:rFonts w:ascii="Arial" w:cs="Arial" w:eastAsia="Arial" w:hAnsi="Arial"/>
          <w:sz w:val="16"/>
          <w:szCs w:val="16"/>
          <w:i w:val="1"/>
          <w:iCs w:val="1"/>
          <w:color w:val="1666AF"/>
        </w:rPr>
        <w:t xml:space="preserve">Other proceedings </w:t>
      </w:r>
      <w:r>
        <w:rPr>
          <w:rFonts w:ascii="Arial" w:cs="Arial" w:eastAsia="Arial" w:hAnsi="Arial"/>
          <w:sz w:val="16"/>
          <w:szCs w:val="16"/>
          <w:color w:val="000000"/>
        </w:rPr>
        <w:t>The case of</w:t>
      </w:r>
      <w:r>
        <w:rPr>
          <w:rFonts w:ascii="Arial" w:cs="Arial" w:eastAsia="Arial" w:hAnsi="Arial"/>
          <w:sz w:val="16"/>
          <w:szCs w:val="16"/>
          <w:i w:val="1"/>
          <w:iCs w:val="1"/>
          <w:color w:val="1666AF"/>
        </w:rPr>
        <w:t xml:space="preserve"> </w:t>
      </w:r>
      <w:r>
        <w:rPr>
          <w:rFonts w:ascii="Arial" w:cs="Arial" w:eastAsia="Arial" w:hAnsi="Arial"/>
          <w:sz w:val="16"/>
          <w:szCs w:val="16"/>
          <w:i w:val="1"/>
          <w:iCs w:val="1"/>
          <w:color w:val="000000"/>
        </w:rPr>
        <w:t>Jack Jimenez, et al. v. Allstate</w:t>
      </w:r>
      <w:r>
        <w:rPr>
          <w:rFonts w:ascii="Arial" w:cs="Arial" w:eastAsia="Arial" w:hAnsi="Arial"/>
          <w:sz w:val="16"/>
          <w:szCs w:val="16"/>
          <w:i w:val="1"/>
          <w:iCs w:val="1"/>
          <w:color w:val="1666AF"/>
        </w:rPr>
        <w:t xml:space="preserve"> </w:t>
      </w:r>
      <w:r>
        <w:rPr>
          <w:rFonts w:ascii="Arial" w:cs="Arial" w:eastAsia="Arial" w:hAnsi="Arial"/>
          <w:sz w:val="16"/>
          <w:szCs w:val="16"/>
          <w:i w:val="1"/>
          <w:iCs w:val="1"/>
          <w:color w:val="000000"/>
        </w:rPr>
        <w:t xml:space="preserve">Insurance Company </w:t>
      </w:r>
      <w:r>
        <w:rPr>
          <w:rFonts w:ascii="Arial" w:cs="Arial" w:eastAsia="Arial" w:hAnsi="Arial"/>
          <w:sz w:val="16"/>
          <w:szCs w:val="16"/>
          <w:color w:val="000000"/>
        </w:rPr>
        <w:t>was filed in the United States District Court for the</w:t>
      </w:r>
      <w:r>
        <w:rPr>
          <w:rFonts w:ascii="Arial" w:cs="Arial" w:eastAsia="Arial" w:hAnsi="Arial"/>
          <w:sz w:val="16"/>
          <w:szCs w:val="16"/>
          <w:i w:val="1"/>
          <w:iCs w:val="1"/>
          <w:color w:val="000000"/>
        </w:rPr>
        <w:t xml:space="preserve"> </w:t>
      </w:r>
      <w:r>
        <w:rPr>
          <w:rFonts w:ascii="Arial" w:cs="Arial" w:eastAsia="Arial" w:hAnsi="Arial"/>
          <w:sz w:val="16"/>
          <w:szCs w:val="16"/>
          <w:color w:val="000000"/>
        </w:rPr>
        <w:t>Central District of California on September 30, 2010. Plaintiffs allege off-the-clock wage and hour claims and other California Labor Code violations resulting from purported unpaid overtime. Plaintiffs seek recovery of unpaid compensation, liquidated damages, penalties, and attorneys’ fees and costs. The court certified a class that includes all adjusters in the state of California, except auto field adjusters, from September 29, 2006 to final judgment. Allstate’s appeals to the Ninth Circuit Court of Appeals and then to the U.S. Supreme</w:t>
      </w:r>
    </w:p>
    <w:p>
      <w:pPr>
        <w:spacing w:after="0" w:line="20" w:lineRule="exact"/>
        <w:rPr>
          <w:sz w:val="20"/>
          <w:szCs w:val="20"/>
          <w:color w:val="auto"/>
        </w:rPr>
      </w:pPr>
      <w:r>
        <w:rPr>
          <w:sz w:val="20"/>
          <w:szCs w:val="20"/>
          <w:color w:val="auto"/>
        </w:rPr>
        <w:br w:type="column"/>
      </w:r>
    </w:p>
    <w:p>
      <w:pPr>
        <w:ind w:left="1460"/>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Court did not result in decertification. No trial date is calendared.</w:t>
      </w:r>
    </w:p>
    <w:p>
      <w:pPr>
        <w:spacing w:after="0" w:line="113" w:lineRule="exact"/>
        <w:rPr>
          <w:sz w:val="20"/>
          <w:szCs w:val="20"/>
          <w:color w:val="auto"/>
        </w:rPr>
      </w:pPr>
    </w:p>
    <w:p>
      <w:pPr>
        <w:ind w:right="280" w:firstLine="324"/>
        <w:spacing w:after="0" w:line="250" w:lineRule="auto"/>
        <w:rPr>
          <w:sz w:val="20"/>
          <w:szCs w:val="20"/>
          <w:color w:val="auto"/>
        </w:rPr>
      </w:pPr>
      <w:r>
        <w:rPr>
          <w:rFonts w:ascii="Arial" w:cs="Arial" w:eastAsia="Arial" w:hAnsi="Arial"/>
          <w:sz w:val="16"/>
          <w:szCs w:val="16"/>
          <w:color w:val="auto"/>
        </w:rPr>
        <w:t>The stockholder derivative actions described below are disclosed pursuant to SEC disclosure requirements for these types of matters. The putative class action alleging violations of the federal securities laws is disclosed because it involves similar allegations to those made in the stockholder derivative actions.</w:t>
      </w:r>
    </w:p>
    <w:p>
      <w:pPr>
        <w:spacing w:after="0" w:line="79"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i w:val="1"/>
          <w:iCs w:val="1"/>
          <w:color w:val="auto"/>
        </w:rPr>
        <w:t xml:space="preserve">Biefeldt / IBEW </w:t>
      </w:r>
      <w:r>
        <w:rPr>
          <w:rFonts w:ascii="Arial" w:cs="Arial" w:eastAsia="Arial" w:hAnsi="Arial"/>
          <w:sz w:val="16"/>
          <w:szCs w:val="16"/>
          <w:color w:val="auto"/>
        </w:rPr>
        <w:t>Consolidated Action. Two separately filed stockholder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derivative actions have been consolidated into a single proceeding that is pending in the Circuit Court for Cook County, Illinois, Chancery Division. The original complaint in the first-filed of those actions, </w:t>
      </w:r>
      <w:r>
        <w:rPr>
          <w:rFonts w:ascii="Arial" w:cs="Arial" w:eastAsia="Arial" w:hAnsi="Arial"/>
          <w:sz w:val="16"/>
          <w:szCs w:val="16"/>
          <w:i w:val="1"/>
          <w:iCs w:val="1"/>
          <w:color w:val="auto"/>
        </w:rPr>
        <w:t>Biefeldt v. Wilson, et al.</w:t>
      </w:r>
      <w:r>
        <w:rPr>
          <w:rFonts w:ascii="Arial" w:cs="Arial" w:eastAsia="Arial" w:hAnsi="Arial"/>
          <w:sz w:val="16"/>
          <w:szCs w:val="16"/>
          <w:color w:val="auto"/>
        </w:rPr>
        <w:t xml:space="preserve">, was filed on August 3, 2017, in that court by a plaintiff alleging that she is a stockholder of the Company. On June 29, 2018, the court granted defendants’ motion to dismiss that complaint for failure to make a pre-suit demand on the Allstate board before instituting the suit, but granted the plaintiff permission to file an amended complaint. The original complaint in </w:t>
      </w:r>
      <w:r>
        <w:rPr>
          <w:rFonts w:ascii="Arial" w:cs="Arial" w:eastAsia="Arial" w:hAnsi="Arial"/>
          <w:sz w:val="16"/>
          <w:szCs w:val="16"/>
          <w:i w:val="1"/>
          <w:iCs w:val="1"/>
          <w:color w:val="auto"/>
        </w:rPr>
        <w:t>IBEW Local No. 98 Pension Fund v. Wilson, et al.</w:t>
      </w:r>
      <w:r>
        <w:rPr>
          <w:rFonts w:ascii="Arial" w:cs="Arial" w:eastAsia="Arial" w:hAnsi="Arial"/>
          <w:sz w:val="16"/>
          <w:szCs w:val="16"/>
          <w:color w:val="auto"/>
        </w:rPr>
        <w:t>, was filed on April 12,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2018, in the same court by another plaintiff alleging to be a stockholder of the Company. After the court issued its dismissal decision in the </w:t>
      </w:r>
      <w:r>
        <w:rPr>
          <w:rFonts w:ascii="Arial" w:cs="Arial" w:eastAsia="Arial" w:hAnsi="Arial"/>
          <w:sz w:val="16"/>
          <w:szCs w:val="16"/>
          <w:i w:val="1"/>
          <w:iCs w:val="1"/>
          <w:color w:val="auto"/>
        </w:rPr>
        <w:t>Biefeldt</w:t>
      </w:r>
      <w:r>
        <w:rPr>
          <w:rFonts w:ascii="Arial" w:cs="Arial" w:eastAsia="Arial" w:hAnsi="Arial"/>
          <w:sz w:val="16"/>
          <w:szCs w:val="16"/>
          <w:color w:val="auto"/>
        </w:rPr>
        <w:t xml:space="preserve"> action, the plaintiffs agreed to consolidate the two actions and filed a consolidated amended complaint naming the Company’s chairman, president and chief executive officer, its former president, and certain present or former members of the board of directors. In that complaint, the plaintiffs allege that the directors and officer defendants breached their fiduciary duties to the Company in connection with allegedly material misstatements or omissions concerning the Company’s automobile insurance claim frequency statistics and the reasons for a claim frequency increase for Allstate brand auto insurance between October 2014 and August 3, 2015. The factual allegations are substantially similar to those at issue in </w:t>
      </w:r>
      <w:r>
        <w:rPr>
          <w:rFonts w:ascii="Arial" w:cs="Arial" w:eastAsia="Arial" w:hAnsi="Arial"/>
          <w:sz w:val="16"/>
          <w:szCs w:val="16"/>
          <w:i w:val="1"/>
          <w:iCs w:val="1"/>
          <w:color w:val="auto"/>
        </w:rPr>
        <w:t>In re The Allstate Corp. Securities Litigation</w:t>
      </w:r>
      <w:r>
        <w:rPr>
          <w:rFonts w:ascii="Arial" w:cs="Arial" w:eastAsia="Arial" w:hAnsi="Arial"/>
          <w:sz w:val="16"/>
          <w:szCs w:val="16"/>
          <w:color w:val="auto"/>
        </w:rPr>
        <w:t>. The plaintiffs further allege that a senior officer and several outside directors engaged in stock option exercises allegedly while in possession of material nonpublic information. The plaintiffs seek, on behalf of the Company, an unspecified amount of damages and various forms of equitable relief. Defendants moved to dismiss the consolidated complaint on September 24, 2018 for failure to make a demand on the Allstate board. The motion to dismiss was fully briefed as of December 10, 2018. The court heard argument on the motion on March 7, 2019 and continued the argument hearing to May 14, 2019.</w:t>
      </w:r>
    </w:p>
    <w:p>
      <w:pPr>
        <w:spacing w:after="0" w:line="288" w:lineRule="exact"/>
        <w:rPr>
          <w:sz w:val="20"/>
          <w:szCs w:val="20"/>
          <w:color w:val="auto"/>
        </w:rPr>
      </w:pPr>
    </w:p>
    <w:p>
      <w:pPr>
        <w:ind w:right="60" w:firstLine="324"/>
        <w:spacing w:after="0" w:line="251"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Sundquist v. Wilson, et al</w:t>
      </w:r>
      <w:r>
        <w:rPr>
          <w:rFonts w:ascii="Arial" w:cs="Arial" w:eastAsia="Arial" w:hAnsi="Arial"/>
          <w:sz w:val="16"/>
          <w:szCs w:val="16"/>
          <w:color w:val="auto"/>
        </w:rPr>
        <w:t>., another plaintiff alleging to be a stockholder of the Company filed a stockholder derivative complaint in the United States District Court for the Northern District of Illinois on May 21, 2018. The plaintiff seeks, on behalf of the Company, an unspecified amount of damages and various forms of equitable relief. The complaint names as defendants the Company’s chairman, president and chief executive officer, its former president, its former chief financial officer, who is now the Company’s vice chairman, and certain present or former members of</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41</w:t>
      </w:r>
    </w:p>
    <w:p>
      <w:pPr>
        <w:sectPr>
          <w:pgSz w:w="11900" w:h="16838" w:orient="portrait"/>
          <w:cols w:equalWidth="0" w:num="2">
            <w:col w:w="5480" w:space="460"/>
            <w:col w:w="5480"/>
          </w:cols>
          <w:pgMar w:left="240" w:top="141" w:right="2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the board of directors. The complaint alleges breaches of fiduciary duty based on allegations similar to those asserted in </w:t>
      </w:r>
      <w:r>
        <w:rPr>
          <w:rFonts w:ascii="Arial" w:cs="Arial" w:eastAsia="Arial" w:hAnsi="Arial"/>
          <w:sz w:val="16"/>
          <w:szCs w:val="16"/>
          <w:i w:val="1"/>
          <w:iCs w:val="1"/>
          <w:color w:val="auto"/>
        </w:rPr>
        <w:t>In re The Allstate Corp.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Securities Litigation </w:t>
      </w:r>
      <w:r>
        <w:rPr>
          <w:rFonts w:ascii="Arial" w:cs="Arial" w:eastAsia="Arial" w:hAnsi="Arial"/>
          <w:sz w:val="16"/>
          <w:szCs w:val="16"/>
          <w:color w:val="auto"/>
        </w:rPr>
        <w:t>as well as state law “misappropriation” claims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 option transactions by the Company’s chairman, president and chief executive officer, its former chief financial officer, who is now the Company’s vice chairman, and certain members of the board of directors. Defendants moved to dismiss and/or stay the complaint on August 7, 2018. On December 4, 2018, the court granted the defendants’ motion and stayed the case pending the resolution of the consolidated </w:t>
      </w:r>
      <w:r>
        <w:rPr>
          <w:rFonts w:ascii="Arial" w:cs="Arial" w:eastAsia="Arial" w:hAnsi="Arial"/>
          <w:sz w:val="16"/>
          <w:szCs w:val="16"/>
          <w:i w:val="1"/>
          <w:iCs w:val="1"/>
          <w:color w:val="auto"/>
        </w:rPr>
        <w:t>Biefeldt/IBEW</w:t>
      </w:r>
      <w:r>
        <w:rPr>
          <w:rFonts w:ascii="Arial" w:cs="Arial" w:eastAsia="Arial" w:hAnsi="Arial"/>
          <w:sz w:val="16"/>
          <w:szCs w:val="16"/>
          <w:color w:val="auto"/>
        </w:rPr>
        <w:t xml:space="preserve"> matter.</w:t>
      </w:r>
    </w:p>
    <w:p>
      <w:pPr>
        <w:spacing w:after="0" w:line="83" w:lineRule="exact"/>
        <w:rPr>
          <w:sz w:val="20"/>
          <w:szCs w:val="20"/>
          <w:color w:val="auto"/>
        </w:rPr>
      </w:pPr>
    </w:p>
    <w:p>
      <w:pPr>
        <w:ind w:right="40" w:firstLine="324"/>
        <w:spacing w:after="0" w:line="249" w:lineRule="auto"/>
        <w:rPr>
          <w:sz w:val="20"/>
          <w:szCs w:val="20"/>
          <w:color w:val="auto"/>
        </w:rPr>
      </w:pPr>
      <w:r>
        <w:rPr>
          <w:rFonts w:ascii="Arial" w:cs="Arial" w:eastAsia="Arial" w:hAnsi="Arial"/>
          <w:sz w:val="16"/>
          <w:szCs w:val="16"/>
          <w:i w:val="1"/>
          <w:iCs w:val="1"/>
          <w:color w:val="auto"/>
        </w:rPr>
        <w:t xml:space="preserve">In re The Allstate Corp. Securities Litigation </w:t>
      </w:r>
      <w:r>
        <w:rPr>
          <w:rFonts w:ascii="Arial" w:cs="Arial" w:eastAsia="Arial" w:hAnsi="Arial"/>
          <w:sz w:val="16"/>
          <w:szCs w:val="16"/>
          <w:color w:val="auto"/>
        </w:rPr>
        <w:t>is a putative class action</w:t>
      </w:r>
      <w:r>
        <w:rPr>
          <w:rFonts w:ascii="Arial" w:cs="Arial" w:eastAsia="Arial" w:hAnsi="Arial"/>
          <w:sz w:val="16"/>
          <w:szCs w:val="16"/>
          <w:i w:val="1"/>
          <w:iCs w:val="1"/>
          <w:color w:val="auto"/>
        </w:rPr>
        <w:t xml:space="preserve"> </w:t>
      </w:r>
      <w:r>
        <w:rPr>
          <w:rFonts w:ascii="Arial" w:cs="Arial" w:eastAsia="Arial" w:hAnsi="Arial"/>
          <w:sz w:val="16"/>
          <w:szCs w:val="16"/>
          <w:color w:val="auto"/>
        </w:rPr>
        <w:t>filed on November 11, 2016 in the United States District Court for the Northern District of Illinois against the Company and two of its officers asserting claims under the federal securities laws. Plaintiffs allege that they purchased Allstate common stock during the putative class period and suffered damages as the result of the conduct alleged. Plaintiffs seek an unspecified amount of damages, costs, attorney’s fees, and other relief as the court deems appropriate. Plaintiffs allege that the Company and certain senior officers made allegedly material misstatements or omissions concerning claim frequency statistics and the reasons for a claim frequency increase for Allstate brand auto insurance between October 2014 and August 3, 2015.</w:t>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42 </w:t>
      </w:r>
      <w:r>
        <w:rPr>
          <w:sz w:val="1"/>
          <w:szCs w:val="1"/>
          <w:color w:val="auto"/>
        </w:rPr>
        <w:drawing>
          <wp:inline distT="0" distB="0" distL="0" distR="0">
            <wp:extent cx="111760" cy="1117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Plaintiffs’ further allege that a senior officer engaged in stock option exercises during that time allegedly while in possession of material nonpublic information about Allstate brand auto insurance claim frequency. The Company, its chairman, president and chief executive officer, and its former president are the named defendants. After the court denied their motion to dismiss on February 27, 2018, defendants answered the complaint, denying plaintiffs’ allegations that there was any misstatement or omission or other misconduct. On June 22, 2018, plaintiffs filed their motion for class certification, which was fully briefed as of January 11, 2019. On September 12, 2018, the court allowed the lead plaintiffs to amend their complaint to add the City of Providence Employee Retirement System as a proposed class representative. The amended complaint was filed the same day. On March 26, 2019, the court granted plaintiffs’ motion for class certification and certified a class consisting of all persons who purchased Allstate common stock between October 29, 2014 and August 3, 2015. On April 9, 2019, defendants filed with the 7th Circuit Court of Appeals a petition for permission to appeal this ruling pursuant to Federal Rule of Civil Procedure 23 (f).</w:t>
      </w:r>
    </w:p>
    <w:p>
      <w:pPr>
        <w:sectPr>
          <w:pgSz w:w="11900" w:h="16838" w:orient="portrait"/>
          <w:cols w:equalWidth="0" w:num="2">
            <w:col w:w="5440" w:space="500"/>
            <w:col w:w="5480"/>
          </w:cols>
          <w:pgMar w:left="240" w:top="14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12</w:t>
      </w:r>
      <w:r>
        <w:rPr>
          <w:sz w:val="20"/>
          <w:szCs w:val="20"/>
          <w:color w:val="auto"/>
        </w:rPr>
        <w:tab/>
      </w:r>
      <w:r>
        <w:rPr>
          <w:rFonts w:ascii="Arial" w:cs="Arial" w:eastAsia="Arial" w:hAnsi="Arial"/>
          <w:sz w:val="19"/>
          <w:szCs w:val="19"/>
          <w:b w:val="1"/>
          <w:bCs w:val="1"/>
          <w:color w:val="auto"/>
        </w:rPr>
        <w:t>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Change in accounting principle</w:t>
      </w:r>
    </w:p>
    <w:p>
      <w:pPr>
        <w:spacing w:after="0" w:line="133"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color w:val="auto"/>
        </w:rPr>
        <w:t>As discussed in Note 1, the Company changed its accounting principle for recognizing actuarial gains and losses and expected return on plan assets for its pension and other postretirement plans to a more preferable policy under U.S. GAAP. Under the new principle, remeasurement of projected benefit obligation and plan assets are immediately recognized through earnings and are referred to as pension and</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other postretirement remeasurement gains and losses on the Condensed Consolidated Statements of Operations. This change has been applied on a retrospective basis. See Note 1 for further information regarding the impact of the change in accounting principle on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264795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380" w:space="560"/>
            <w:col w:w="5480"/>
          </w:cols>
          <w:pgMar w:left="240" w:top="141" w:right="239" w:bottom="1440" w:gutter="0" w:footer="0" w:header="0"/>
          <w:type w:val="continuous"/>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Components of net cost (benefit) for pension and other 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restart"/>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128"/>
        </w:trPr>
        <w:tc>
          <w:tcPr>
            <w:tcW w:w="8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Pension benefits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46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CACAC"/>
            </w:tcBorders>
          </w:tcPr>
          <w:p>
            <w:pPr>
              <w:spacing w:after="0"/>
              <w:rPr>
                <w:sz w:val="4"/>
                <w:szCs w:val="4"/>
                <w:color w:val="auto"/>
              </w:rPr>
            </w:pPr>
          </w:p>
        </w:tc>
        <w:tc>
          <w:tcPr>
            <w:tcW w:w="46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CACAC"/>
            </w:tcBorders>
          </w:tcPr>
          <w:p>
            <w:pPr>
              <w:spacing w:after="0"/>
              <w:rPr>
                <w:sz w:val="4"/>
                <w:szCs w:val="4"/>
                <w:color w:val="auto"/>
              </w:rPr>
            </w:pPr>
          </w:p>
        </w:tc>
        <w:tc>
          <w:tcPr>
            <w:tcW w:w="1040" w:type="dxa"/>
            <w:vAlign w:val="bottom"/>
            <w:tcBorders>
              <w:bottom w:val="single" w:sz="8" w:color="ACACAC"/>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Interest cost</w:t>
            </w:r>
          </w:p>
        </w:tc>
        <w:tc>
          <w:tcPr>
            <w:tcW w:w="9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Expected return on plan assets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prior service credit</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b w:val="1"/>
                <w:bCs w:val="1"/>
                <w:color w:val="auto"/>
              </w:rPr>
              <w:t>Costs and expenses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Remeasurement of projected benefit obligation</w:t>
            </w:r>
          </w:p>
        </w:tc>
        <w:tc>
          <w:tcPr>
            <w:tcW w:w="9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Remeasurement of plan assets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b w:val="1"/>
                <w:bCs w:val="1"/>
                <w:color w:val="auto"/>
              </w:rPr>
              <w:t>Remeasurement gains and losses</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22</w:t>
            </w:r>
          </w:p>
        </w:tc>
        <w:tc>
          <w:tcPr>
            <w:tcW w:w="0" w:type="dxa"/>
            <w:vAlign w:val="bottom"/>
          </w:tcPr>
          <w:p>
            <w:pPr>
              <w:spacing w:after="0"/>
              <w:rPr>
                <w:sz w:val="1"/>
                <w:szCs w:val="1"/>
                <w:color w:val="auto"/>
              </w:rPr>
            </w:pPr>
          </w:p>
        </w:tc>
      </w:tr>
      <w:tr>
        <w:trPr>
          <w:trHeight w:val="33"/>
        </w:trPr>
        <w:tc>
          <w:tcPr>
            <w:tcW w:w="8460" w:type="dxa"/>
            <w:vAlign w:val="bottom"/>
            <w:tcBorders>
              <w:bottom w:val="single" w:sz="8" w:color="1666AF"/>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1666AF"/>
            </w:tcBorders>
          </w:tcPr>
          <w:p>
            <w:pPr>
              <w:spacing w:after="0"/>
              <w:rPr>
                <w:sz w:val="2"/>
                <w:szCs w:val="2"/>
                <w:color w:val="auto"/>
              </w:rPr>
            </w:pPr>
          </w:p>
        </w:tc>
        <w:tc>
          <w:tcPr>
            <w:tcW w:w="46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net benefit</w:t>
            </w:r>
          </w:p>
        </w:tc>
        <w:tc>
          <w:tcPr>
            <w:tcW w:w="9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0" w:type="dxa"/>
            <w:vAlign w:val="bottom"/>
          </w:tcPr>
          <w:p>
            <w:pPr>
              <w:spacing w:after="0"/>
              <w:rPr>
                <w:sz w:val="1"/>
                <w:szCs w:val="1"/>
                <w:color w:val="auto"/>
              </w:rPr>
            </w:pPr>
          </w:p>
        </w:tc>
      </w:tr>
      <w:tr>
        <w:trPr>
          <w:trHeight w:val="33"/>
        </w:trPr>
        <w:tc>
          <w:tcPr>
            <w:tcW w:w="858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60" w:type="dxa"/>
            <w:vAlign w:val="bottom"/>
            <w:tcBorders>
              <w:top w:val="single" w:sz="8" w:color="1666AF"/>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Borders>
              <w:top w:val="single" w:sz="8" w:color="005BA5"/>
              <w:bottom w:val="single" w:sz="8" w:color="ACACAC"/>
            </w:tcBorders>
          </w:tcPr>
          <w:p>
            <w:pPr>
              <w:spacing w:after="0"/>
              <w:rPr>
                <w:sz w:val="22"/>
                <w:szCs w:val="22"/>
                <w:color w:val="auto"/>
              </w:rPr>
            </w:pPr>
          </w:p>
        </w:tc>
        <w:tc>
          <w:tcPr>
            <w:tcW w:w="460" w:type="dxa"/>
            <w:vAlign w:val="bottom"/>
            <w:tcBorders>
              <w:top w:val="single" w:sz="8" w:color="005BA5"/>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005BA5"/>
              <w:bottom w:val="single" w:sz="8" w:color="ACACAC"/>
            </w:tcBorders>
          </w:tcPr>
          <w:p>
            <w:pPr>
              <w:spacing w:after="0"/>
              <w:rPr>
                <w:sz w:val="22"/>
                <w:szCs w:val="22"/>
                <w:color w:val="auto"/>
              </w:rPr>
            </w:pPr>
          </w:p>
        </w:tc>
        <w:tc>
          <w:tcPr>
            <w:tcW w:w="1040" w:type="dxa"/>
            <w:vAlign w:val="bottom"/>
            <w:tcBorders>
              <w:top w:val="single" w:sz="8" w:color="005BA5"/>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Postretirement benefits</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846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CACAC"/>
            </w:tcBorders>
          </w:tcPr>
          <w:p>
            <w:pPr>
              <w:spacing w:after="0"/>
              <w:rPr>
                <w:sz w:val="4"/>
                <w:szCs w:val="4"/>
                <w:color w:val="auto"/>
              </w:rPr>
            </w:pPr>
          </w:p>
        </w:tc>
        <w:tc>
          <w:tcPr>
            <w:tcW w:w="46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CACAC"/>
            </w:tcBorders>
          </w:tcPr>
          <w:p>
            <w:pPr>
              <w:spacing w:after="0"/>
              <w:rPr>
                <w:sz w:val="4"/>
                <w:szCs w:val="4"/>
                <w:color w:val="auto"/>
              </w:rPr>
            </w:pPr>
          </w:p>
        </w:tc>
        <w:tc>
          <w:tcPr>
            <w:tcW w:w="1040" w:type="dxa"/>
            <w:vAlign w:val="bottom"/>
            <w:tcBorders>
              <w:bottom w:val="single" w:sz="8" w:color="ACACAC"/>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Interest cost</w:t>
            </w:r>
          </w:p>
        </w:tc>
        <w:tc>
          <w:tcPr>
            <w:tcW w:w="9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prior service credit</w:t>
            </w: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b w:val="1"/>
                <w:bCs w:val="1"/>
                <w:color w:val="auto"/>
              </w:rPr>
              <w:t>Costs and expenses</w:t>
            </w:r>
          </w:p>
        </w:tc>
        <w:tc>
          <w:tcPr>
            <w:tcW w:w="9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Remeasurement of projected benefit obligation</w:t>
            </w:r>
          </w:p>
        </w:tc>
        <w:tc>
          <w:tcPr>
            <w:tcW w:w="9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Remeasurement of plan assets</w:t>
            </w:r>
          </w:p>
        </w:tc>
        <w:tc>
          <w:tcPr>
            <w:tcW w:w="9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b w:val="1"/>
                <w:bCs w:val="1"/>
                <w:color w:val="auto"/>
              </w:rPr>
              <w:t>Remeasurement gains and losses</w:t>
            </w:r>
          </w:p>
        </w:tc>
        <w:tc>
          <w:tcPr>
            <w:tcW w:w="920" w:type="dxa"/>
            <w:vAlign w:val="bottom"/>
          </w:tcPr>
          <w:p>
            <w:pPr>
              <w:spacing w:after="0"/>
              <w:rPr>
                <w:sz w:val="18"/>
                <w:szCs w:val="18"/>
                <w:color w:val="auto"/>
              </w:rPr>
            </w:pPr>
          </w:p>
        </w:tc>
        <w:tc>
          <w:tcPr>
            <w:tcW w:w="460" w:type="dxa"/>
            <w:vAlign w:val="bottom"/>
          </w:tcPr>
          <w:p>
            <w:pPr>
              <w:jc w:val="right"/>
              <w:ind w:right="19"/>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0" w:type="dxa"/>
            <w:vAlign w:val="bottom"/>
          </w:tcPr>
          <w:p>
            <w:pPr>
              <w:spacing w:after="0"/>
              <w:rPr>
                <w:sz w:val="1"/>
                <w:szCs w:val="1"/>
                <w:color w:val="auto"/>
              </w:rPr>
            </w:pPr>
          </w:p>
        </w:tc>
      </w:tr>
      <w:tr>
        <w:trPr>
          <w:trHeight w:val="33"/>
        </w:trPr>
        <w:tc>
          <w:tcPr>
            <w:tcW w:w="8460" w:type="dxa"/>
            <w:vAlign w:val="bottom"/>
            <w:tcBorders>
              <w:bottom w:val="single" w:sz="8" w:color="1666AF"/>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1666AF"/>
            </w:tcBorders>
          </w:tcPr>
          <w:p>
            <w:pPr>
              <w:spacing w:after="0"/>
              <w:rPr>
                <w:sz w:val="2"/>
                <w:szCs w:val="2"/>
                <w:color w:val="auto"/>
              </w:rPr>
            </w:pPr>
          </w:p>
        </w:tc>
        <w:tc>
          <w:tcPr>
            <w:tcW w:w="46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net cost (benefit)</w:t>
            </w:r>
          </w:p>
        </w:tc>
        <w:tc>
          <w:tcPr>
            <w:tcW w:w="920" w:type="dxa"/>
            <w:vAlign w:val="bottom"/>
          </w:tcPr>
          <w:p>
            <w:pPr>
              <w:jc w:val="right"/>
              <w:ind w:right="719"/>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right"/>
              <w:ind w:right="19"/>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33"/>
        </w:trPr>
        <w:tc>
          <w:tcPr>
            <w:tcW w:w="8460" w:type="dxa"/>
            <w:vAlign w:val="bottom"/>
            <w:tcBorders>
              <w:bottom w:val="single" w:sz="8" w:color="1666AF"/>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43</w:t>
      </w:r>
    </w:p>
    <w:p>
      <w:pPr>
        <w:sectPr>
          <w:pgSz w:w="11900" w:h="16838" w:orient="portrait"/>
          <w:cols w:equalWidth="0" w:num="1">
            <w:col w:w="11420"/>
          </w:cols>
          <w:pgMar w:left="240" w:top="141"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6"/>
          <w:szCs w:val="16"/>
          <w:color w:val="1666AF"/>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13</w:t>
      </w:r>
      <w:r>
        <w:rPr>
          <w:sz w:val="20"/>
          <w:szCs w:val="20"/>
          <w:color w:val="auto"/>
        </w:rPr>
        <w:tab/>
      </w:r>
      <w:r>
        <w:rPr>
          <w:rFonts w:ascii="Arial" w:cs="Arial" w:eastAsia="Arial" w:hAnsi="Arial"/>
          <w:sz w:val="19"/>
          <w:szCs w:val="19"/>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164" w:lineRule="exact"/>
        <w:rPr>
          <w:sz w:val="20"/>
          <w:szCs w:val="20"/>
          <w:color w:val="auto"/>
        </w:rPr>
      </w:pPr>
    </w:p>
    <w:p>
      <w:pPr>
        <w:ind w:right="200" w:firstLine="324"/>
        <w:spacing w:after="0" w:line="250" w:lineRule="auto"/>
        <w:rPr>
          <w:sz w:val="20"/>
          <w:szCs w:val="20"/>
          <w:color w:val="auto"/>
        </w:rPr>
      </w:pPr>
      <w:r>
        <w:rPr>
          <w:rFonts w:ascii="Arial" w:cs="Arial" w:eastAsia="Arial" w:hAnsi="Arial"/>
          <w:sz w:val="16"/>
          <w:szCs w:val="16"/>
          <w:color w:val="auto"/>
        </w:rPr>
        <w:t>Non-cash investing activities include $128 million and $18 million related to mergers and exchanges completed with equity securities, fixed income securities and limited partnerships, and modifications of certain mortgage loans and other investments for the three months ended March 31, 2019 and 2018, respectively.</w:t>
      </w:r>
    </w:p>
    <w:p>
      <w:pPr>
        <w:spacing w:after="0" w:line="9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Non-cash financing activities include $46 million and $27 million related to the issuance of Allstate common shares for vested equity awards for the three months ended March 31, 2019 and 2018, respectively.</w:t>
      </w:r>
    </w:p>
    <w:p>
      <w:pPr>
        <w:spacing w:after="0" w:line="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6"/>
          <w:szCs w:val="16"/>
          <w:color w:val="auto"/>
        </w:rPr>
        <w:t>Cash flows used in operating activities in the Condensed Consolidated Statements of Cash Flows include cash paid for operating leases related to amounts included in the measurement of lease liabilities of $37 million for the three months ended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March 31, 2019. Non-cash operating activities include $502 million related to ROU assets obtained in exchange for lease obligations, including $488 million related to the adoption of new guidance related to accounting for leases, for the three months ended March 31, 2019.</w:t>
      </w:r>
    </w:p>
    <w:p>
      <w:pPr>
        <w:spacing w:after="0" w:line="95" w:lineRule="exact"/>
        <w:rPr>
          <w:sz w:val="20"/>
          <w:szCs w:val="20"/>
          <w:color w:val="auto"/>
        </w:rPr>
      </w:pPr>
    </w:p>
    <w:p>
      <w:pPr>
        <w:ind w:right="40" w:firstLine="324"/>
        <w:spacing w:after="0" w:line="249" w:lineRule="auto"/>
        <w:rPr>
          <w:sz w:val="20"/>
          <w:szCs w:val="20"/>
          <w:color w:val="auto"/>
        </w:rPr>
      </w:pPr>
      <w:r>
        <w:rPr>
          <w:rFonts w:ascii="Arial" w:cs="Arial" w:eastAsia="Arial" w:hAnsi="Arial"/>
          <w:sz w:val="16"/>
          <w:szCs w:val="16"/>
          <w:color w:val="auto"/>
        </w:rPr>
        <w:t>Liabilities for collateral received in conjunction with the Company’s securities lending program and over-the-counter and cleared derivatives are reported in other liabilities and accrued expenses or other investments. The accompanying cash flows are included in cash flows from operating activities in the Condensed Consolidated Statements of Cash Flows along with the activities resulting from management of the proceeds,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455295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88" w:lineRule="exact"/>
        <w:rPr>
          <w:sz w:val="20"/>
          <w:szCs w:val="20"/>
          <w:color w:val="auto"/>
        </w:rPr>
      </w:pPr>
    </w:p>
    <w:p>
      <w:pPr>
        <w:sectPr>
          <w:pgSz w:w="11900" w:h="16838" w:orient="portrait"/>
          <w:cols w:equalWidth="0" w:num="2">
            <w:col w:w="5440" w:space="500"/>
            <w:col w:w="5480"/>
          </w:cols>
          <w:pgMar w:left="240" w:top="141" w:right="239" w:bottom="1440" w:gutter="0" w:footer="0" w:header="0"/>
          <w:type w:val="continuous"/>
        </w:sectPr>
      </w:pPr>
    </w:p>
    <w:p>
      <w:pPr>
        <w:spacing w:after="0" w:line="68" w:lineRule="exact"/>
        <w:rPr>
          <w:sz w:val="20"/>
          <w:szCs w:val="20"/>
          <w:color w:val="auto"/>
        </w:rPr>
      </w:pPr>
    </w:p>
    <w:p>
      <w:pPr>
        <w:ind w:left="836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Borders>
              <w:bottom w:val="single" w:sz="8" w:color="1666AF"/>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460" w:type="dxa"/>
            <w:vAlign w:val="bottom"/>
            <w:tcBorders>
              <w:bottom w:val="single" w:sz="8" w:color="1666AF"/>
            </w:tcBorders>
          </w:tcPr>
          <w:p>
            <w:pPr>
              <w:spacing w:after="0"/>
              <w:rPr>
                <w:sz w:val="20"/>
                <w:szCs w:val="20"/>
                <w:color w:val="auto"/>
              </w:rPr>
            </w:pPr>
          </w:p>
        </w:tc>
        <w:tc>
          <w:tcPr>
            <w:tcW w:w="1500" w:type="dxa"/>
            <w:vAlign w:val="bottom"/>
            <w:tcBorders>
              <w:bottom w:val="single" w:sz="8" w:color="1666AF"/>
            </w:tcBorders>
          </w:tcPr>
          <w:p>
            <w:pPr>
              <w:jc w:val="right"/>
              <w:ind w:right="7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60" w:type="dxa"/>
            <w:vAlign w:val="bottom"/>
            <w:tcBorders>
              <w:bottom w:val="single" w:sz="8" w:color="1666AF"/>
            </w:tcBorders>
          </w:tcPr>
          <w:p>
            <w:pPr>
              <w:spacing w:after="0"/>
              <w:rPr>
                <w:sz w:val="20"/>
                <w:szCs w:val="20"/>
                <w:color w:val="auto"/>
              </w:rPr>
            </w:pPr>
          </w:p>
        </w:tc>
        <w:tc>
          <w:tcPr>
            <w:tcW w:w="1460" w:type="dxa"/>
            <w:vAlign w:val="bottom"/>
            <w:tcBorders>
              <w:bottom w:val="single" w:sz="8" w:color="1666AF"/>
            </w:tcBorders>
          </w:tcPr>
          <w:p>
            <w:pPr>
              <w:jc w:val="right"/>
              <w:ind w:right="719"/>
              <w:spacing w:after="0"/>
              <w:rPr>
                <w:sz w:val="20"/>
                <w:szCs w:val="20"/>
                <w:color w:val="auto"/>
              </w:rPr>
            </w:pPr>
            <w:r>
              <w:rPr>
                <w:rFonts w:ascii="Arial" w:cs="Arial" w:eastAsia="Arial" w:hAnsi="Arial"/>
                <w:sz w:val="16"/>
                <w:szCs w:val="16"/>
                <w:b w:val="1"/>
                <w:bCs w:val="1"/>
                <w:color w:val="auto"/>
              </w:rPr>
              <w:t>2018</w:t>
            </w:r>
          </w:p>
        </w:tc>
      </w:tr>
      <w:tr>
        <w:trPr>
          <w:trHeight w:val="223"/>
        </w:trPr>
        <w:tc>
          <w:tcPr>
            <w:tcW w:w="74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change in proceeds managed</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7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5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460" w:type="dxa"/>
            <w:vAlign w:val="bottom"/>
            <w:tcBorders>
              <w:bottom w:val="single" w:sz="8" w:color="ACACAC"/>
            </w:tcBorders>
          </w:tcPr>
          <w:p>
            <w:pPr>
              <w:spacing w:after="0"/>
              <w:rPr>
                <w:sz w:val="2"/>
                <w:szCs w:val="2"/>
                <w:color w:val="auto"/>
              </w:rPr>
            </w:pPr>
          </w:p>
        </w:tc>
      </w:tr>
      <w:tr>
        <w:trPr>
          <w:trHeight w:val="21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Net change in fixed income securities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7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5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460" w:type="dxa"/>
            <w:vAlign w:val="bottom"/>
            <w:tcBorders>
              <w:bottom w:val="single" w:sz="8" w:color="ACACAC"/>
            </w:tcBorders>
          </w:tcPr>
          <w:p>
            <w:pPr>
              <w:spacing w:after="0"/>
              <w:rPr>
                <w:sz w:val="2"/>
                <w:szCs w:val="2"/>
                <w:color w:val="auto"/>
              </w:rPr>
            </w:pPr>
          </w:p>
        </w:tc>
      </w:tr>
      <w:tr>
        <w:trPr>
          <w:trHeight w:val="21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Net change in short-term investments</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73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5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460" w:type="dxa"/>
            <w:vAlign w:val="bottom"/>
            <w:tcBorders>
              <w:bottom w:val="single" w:sz="8" w:color="005BA5"/>
            </w:tcBorders>
          </w:tcPr>
          <w:p>
            <w:pPr>
              <w:spacing w:after="0"/>
              <w:rPr>
                <w:sz w:val="2"/>
                <w:szCs w:val="2"/>
                <w:color w:val="auto"/>
              </w:rPr>
            </w:pPr>
          </w:p>
        </w:tc>
      </w:tr>
      <w:tr>
        <w:trPr>
          <w:trHeight w:val="217"/>
        </w:trPr>
        <w:tc>
          <w:tcPr>
            <w:tcW w:w="744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Operating cash flow (used) provided</w:t>
            </w: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(515)</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87</w:t>
            </w:r>
          </w:p>
        </w:tc>
      </w:tr>
      <w:tr>
        <w:trPr>
          <w:trHeight w:val="33"/>
        </w:trPr>
        <w:tc>
          <w:tcPr>
            <w:tcW w:w="7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5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460" w:type="dxa"/>
            <w:vAlign w:val="bottom"/>
            <w:tcBorders>
              <w:bottom w:val="single" w:sz="8" w:color="ACACAC"/>
            </w:tcBorders>
          </w:tcPr>
          <w:p>
            <w:pPr>
              <w:spacing w:after="0"/>
              <w:rPr>
                <w:sz w:val="2"/>
                <w:szCs w:val="2"/>
                <w:color w:val="auto"/>
              </w:rPr>
            </w:pPr>
          </w:p>
        </w:tc>
      </w:tr>
      <w:tr>
        <w:trPr>
          <w:trHeight w:val="501"/>
        </w:trPr>
        <w:tc>
          <w:tcPr>
            <w:tcW w:w="74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change in liabilities</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3"/>
        </w:trPr>
        <w:tc>
          <w:tcPr>
            <w:tcW w:w="7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5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460" w:type="dxa"/>
            <w:vAlign w:val="bottom"/>
            <w:tcBorders>
              <w:bottom w:val="single" w:sz="8" w:color="ACACAC"/>
            </w:tcBorders>
          </w:tcPr>
          <w:p>
            <w:pPr>
              <w:spacing w:after="0"/>
              <w:rPr>
                <w:sz w:val="2"/>
                <w:szCs w:val="2"/>
                <w:color w:val="auto"/>
              </w:rPr>
            </w:pPr>
          </w:p>
        </w:tc>
      </w:tr>
      <w:tr>
        <w:trPr>
          <w:trHeight w:val="21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Liabilities for collateral, beginning of period</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(1,124)</w:t>
            </w:r>
          </w:p>
        </w:tc>
      </w:tr>
      <w:tr>
        <w:trPr>
          <w:trHeight w:val="33"/>
        </w:trPr>
        <w:tc>
          <w:tcPr>
            <w:tcW w:w="7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5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460" w:type="dxa"/>
            <w:vAlign w:val="bottom"/>
            <w:tcBorders>
              <w:bottom w:val="single" w:sz="8" w:color="ACACAC"/>
            </w:tcBorders>
          </w:tcPr>
          <w:p>
            <w:pPr>
              <w:spacing w:after="0"/>
              <w:rPr>
                <w:sz w:val="2"/>
                <w:szCs w:val="2"/>
                <w:color w:val="auto"/>
              </w:rPr>
            </w:pPr>
          </w:p>
        </w:tc>
      </w:tr>
      <w:tr>
        <w:trPr>
          <w:trHeight w:val="217"/>
        </w:trPr>
        <w:tc>
          <w:tcPr>
            <w:tcW w:w="7440" w:type="dxa"/>
            <w:vAlign w:val="bottom"/>
            <w:gridSpan w:val="2"/>
          </w:tcPr>
          <w:p>
            <w:pPr>
              <w:ind w:left="40"/>
              <w:spacing w:after="0"/>
              <w:rPr>
                <w:sz w:val="20"/>
                <w:szCs w:val="20"/>
                <w:color w:val="auto"/>
              </w:rPr>
            </w:pPr>
            <w:r>
              <w:rPr>
                <w:rFonts w:ascii="Arial" w:cs="Arial" w:eastAsia="Arial" w:hAnsi="Arial"/>
                <w:sz w:val="16"/>
                <w:szCs w:val="16"/>
                <w:color w:val="auto"/>
              </w:rPr>
              <w:t>Liabilities for collateral, end of period</w:t>
            </w:r>
          </w:p>
        </w:tc>
        <w:tc>
          <w:tcPr>
            <w:tcW w:w="4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(1,037)</w:t>
            </w:r>
          </w:p>
        </w:tc>
      </w:tr>
      <w:tr>
        <w:trPr>
          <w:trHeight w:val="33"/>
        </w:trPr>
        <w:tc>
          <w:tcPr>
            <w:tcW w:w="73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5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460" w:type="dxa"/>
            <w:vAlign w:val="bottom"/>
            <w:tcBorders>
              <w:bottom w:val="single" w:sz="8" w:color="005BA5"/>
            </w:tcBorders>
          </w:tcPr>
          <w:p>
            <w:pPr>
              <w:spacing w:after="0"/>
              <w:rPr>
                <w:sz w:val="2"/>
                <w:szCs w:val="2"/>
                <w:color w:val="auto"/>
              </w:rPr>
            </w:pPr>
          </w:p>
        </w:tc>
      </w:tr>
      <w:tr>
        <w:trPr>
          <w:trHeight w:val="217"/>
        </w:trPr>
        <w:tc>
          <w:tcPr>
            <w:tcW w:w="7440" w:type="dxa"/>
            <w:vAlign w:val="bottom"/>
            <w:gridSpan w:val="2"/>
          </w:tcPr>
          <w:p>
            <w:pPr>
              <w:ind w:left="180"/>
              <w:spacing w:after="0"/>
              <w:rPr>
                <w:sz w:val="20"/>
                <w:szCs w:val="20"/>
                <w:color w:val="auto"/>
              </w:rPr>
            </w:pPr>
            <w:r>
              <w:rPr>
                <w:rFonts w:ascii="Arial" w:cs="Arial" w:eastAsia="Arial" w:hAnsi="Arial"/>
                <w:sz w:val="16"/>
                <w:szCs w:val="16"/>
                <w:b w:val="1"/>
                <w:bCs w:val="1"/>
                <w:color w:val="auto"/>
              </w:rPr>
              <w:t>Operating cash flow provided (used)</w:t>
            </w:r>
          </w:p>
        </w:tc>
        <w:tc>
          <w:tcPr>
            <w:tcW w:w="460" w:type="dxa"/>
            <w:vAlign w:val="bottom"/>
          </w:tcPr>
          <w:p>
            <w:pPr>
              <w:jc w:val="right"/>
              <w:ind w:right="279"/>
              <w:spacing w:after="0"/>
              <w:rPr>
                <w:sz w:val="20"/>
                <w:szCs w:val="20"/>
                <w:color w:val="auto"/>
              </w:rPr>
            </w:pPr>
            <w:r>
              <w:rPr>
                <w:rFonts w:ascii="Arial" w:cs="Arial" w:eastAsia="Arial" w:hAnsi="Arial"/>
                <w:sz w:val="16"/>
                <w:szCs w:val="16"/>
                <w:b w:val="1"/>
                <w:bCs w:val="1"/>
                <w:color w:val="auto"/>
                <w:w w:val="89"/>
              </w:rPr>
              <w:t>$</w:t>
            </w:r>
          </w:p>
        </w:tc>
        <w:tc>
          <w:tcPr>
            <w:tcW w:w="1500" w:type="dxa"/>
            <w:vAlign w:val="bottom"/>
          </w:tcPr>
          <w:p>
            <w:pPr>
              <w:jc w:val="right"/>
              <w:ind w:right="39"/>
              <w:spacing w:after="0"/>
              <w:rPr>
                <w:sz w:val="20"/>
                <w:szCs w:val="20"/>
                <w:color w:val="auto"/>
              </w:rPr>
            </w:pPr>
            <w:r>
              <w:rPr>
                <w:rFonts w:ascii="Arial" w:cs="Arial" w:eastAsia="Arial" w:hAnsi="Arial"/>
                <w:sz w:val="16"/>
                <w:szCs w:val="16"/>
                <w:b w:val="1"/>
                <w:bCs w:val="1"/>
                <w:color w:val="auto"/>
              </w:rPr>
              <w:t>515</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6"/>
                <w:szCs w:val="16"/>
                <w:b w:val="1"/>
                <w:bCs w:val="1"/>
                <w:color w:val="auto"/>
              </w:rPr>
              <w:t>(87)</w:t>
            </w:r>
          </w:p>
        </w:tc>
      </w:tr>
      <w:tr>
        <w:trPr>
          <w:trHeight w:val="33"/>
        </w:trPr>
        <w:tc>
          <w:tcPr>
            <w:tcW w:w="7320" w:type="dxa"/>
            <w:vAlign w:val="bottom"/>
            <w:tcBorders>
              <w:bottom w:val="single" w:sz="8" w:color="1666AF"/>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1666AF"/>
            </w:tcBorders>
          </w:tcPr>
          <w:p>
            <w:pPr>
              <w:spacing w:after="0"/>
              <w:rPr>
                <w:sz w:val="2"/>
                <w:szCs w:val="2"/>
                <w:color w:val="auto"/>
              </w:rPr>
            </w:pPr>
          </w:p>
        </w:tc>
        <w:tc>
          <w:tcPr>
            <w:tcW w:w="150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1666AF"/>
            </w:tcBorders>
          </w:tcPr>
          <w:p>
            <w:pPr>
              <w:spacing w:after="0"/>
              <w:rPr>
                <w:sz w:val="2"/>
                <w:szCs w:val="2"/>
                <w:color w:val="auto"/>
              </w:rPr>
            </w:pPr>
          </w:p>
        </w:tc>
        <w:tc>
          <w:tcPr>
            <w:tcW w:w="1460" w:type="dxa"/>
            <w:vAlign w:val="bottom"/>
            <w:tcBorders>
              <w:bottom w:val="single" w:sz="8" w:color="1666AF"/>
            </w:tcBorders>
          </w:tcPr>
          <w:p>
            <w:pPr>
              <w:spacing w:after="0"/>
              <w:rPr>
                <w:sz w:val="2"/>
                <w:szCs w:val="2"/>
                <w:color w:val="auto"/>
              </w:rPr>
            </w:pPr>
          </w:p>
        </w:tc>
      </w:tr>
    </w:tbl>
    <w:p>
      <w:pPr>
        <w:spacing w:after="0" w:line="200" w:lineRule="exact"/>
        <w:rPr>
          <w:sz w:val="20"/>
          <w:szCs w:val="20"/>
          <w:color w:val="auto"/>
        </w:rPr>
      </w:pPr>
    </w:p>
    <w:p>
      <w:pPr>
        <w:spacing w:after="0" w:line="205"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20"/>
          <w:szCs w:val="20"/>
          <w:b w:val="1"/>
          <w:bCs w:val="1"/>
          <w:color w:val="005BA5"/>
        </w:rPr>
        <w:t>Note 14</w:t>
      </w:r>
      <w:r>
        <w:rPr>
          <w:sz w:val="20"/>
          <w:szCs w:val="20"/>
          <w:color w:val="auto"/>
        </w:rPr>
        <w:tab/>
      </w:r>
      <w:r>
        <w:rPr>
          <w:rFonts w:ascii="Arial" w:cs="Arial" w:eastAsia="Arial" w:hAnsi="Arial"/>
          <w:sz w:val="19"/>
          <w:szCs w:val="19"/>
          <w:b w:val="1"/>
          <w:bCs w:val="1"/>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Components of other comprehensive income (loss) on a pre-tax and after-tax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7"/>
          </w:tcPr>
          <w:p>
            <w:pPr>
              <w:ind w:left="60"/>
              <w:spacing w:after="0"/>
              <w:rPr>
                <w:sz w:val="20"/>
                <w:szCs w:val="20"/>
                <w:color w:val="auto"/>
              </w:rPr>
            </w:pPr>
            <w:r>
              <w:rPr>
                <w:rFonts w:ascii="Arial" w:cs="Arial" w:eastAsia="Arial" w:hAnsi="Arial"/>
                <w:sz w:val="16"/>
                <w:szCs w:val="16"/>
                <w:b w:val="1"/>
                <w:bCs w:val="1"/>
                <w:color w:val="auto"/>
                <w:w w:val="95"/>
              </w:rPr>
              <w:t>Three months ended March 31,</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70"/>
        </w:trPr>
        <w:tc>
          <w:tcPr>
            <w:tcW w:w="440" w:type="dxa"/>
            <w:vAlign w:val="bottom"/>
          </w:tcPr>
          <w:p>
            <w:pPr>
              <w:spacing w:after="0"/>
              <w:rPr>
                <w:sz w:val="23"/>
                <w:szCs w:val="23"/>
                <w:color w:val="auto"/>
              </w:rPr>
            </w:pPr>
          </w:p>
        </w:tc>
        <w:tc>
          <w:tcPr>
            <w:tcW w:w="4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33"/>
        </w:trPr>
        <w:tc>
          <w:tcPr>
            <w:tcW w:w="4700" w:type="dxa"/>
            <w:vAlign w:val="bottom"/>
            <w:gridSpan w:val="3"/>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gridSpan w:val="2"/>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940" w:type="dxa"/>
            <w:vAlign w:val="bottom"/>
            <w:tcBorders>
              <w:bottom w:val="single" w:sz="8" w:color="005BA5"/>
            </w:tcBorders>
            <w:gridSpan w:val="2"/>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gridSpan w:val="2"/>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58"/>
        </w:trPr>
        <w:tc>
          <w:tcPr>
            <w:tcW w:w="4580" w:type="dxa"/>
            <w:vAlign w:val="bottom"/>
            <w:tcBorders>
              <w:bottom w:val="single" w:sz="8" w:color="005BA5"/>
            </w:tcBorders>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2"/>
                <w:szCs w:val="22"/>
                <w:color w:val="auto"/>
              </w:rPr>
            </w:pPr>
          </w:p>
        </w:tc>
        <w:tc>
          <w:tcPr>
            <w:tcW w:w="200" w:type="dxa"/>
            <w:vAlign w:val="bottom"/>
            <w:tcBorders>
              <w:bottom w:val="single" w:sz="8" w:color="005BA5"/>
            </w:tcBorders>
          </w:tcPr>
          <w:p>
            <w:pPr>
              <w:spacing w:after="0"/>
              <w:rPr>
                <w:sz w:val="22"/>
                <w:szCs w:val="22"/>
                <w:color w:val="auto"/>
              </w:rPr>
            </w:pPr>
          </w:p>
        </w:tc>
        <w:tc>
          <w:tcPr>
            <w:tcW w:w="860" w:type="dxa"/>
            <w:vAlign w:val="bottom"/>
            <w:tcBorders>
              <w:bottom w:val="single" w:sz="8" w:color="005BA5"/>
            </w:tcBorders>
          </w:tcPr>
          <w:p>
            <w:pPr>
              <w:jc w:val="right"/>
              <w:ind w:right="199"/>
              <w:spacing w:after="0"/>
              <w:rPr>
                <w:sz w:val="20"/>
                <w:szCs w:val="20"/>
                <w:color w:val="auto"/>
              </w:rPr>
            </w:pPr>
            <w:r>
              <w:rPr>
                <w:rFonts w:ascii="Arial" w:cs="Arial" w:eastAsia="Arial" w:hAnsi="Arial"/>
                <w:sz w:val="16"/>
                <w:szCs w:val="16"/>
                <w:b w:val="1"/>
                <w:bCs w:val="1"/>
                <w:color w:val="auto"/>
              </w:rPr>
              <w:t>Pre-tax</w:t>
            </w:r>
          </w:p>
        </w:tc>
        <w:tc>
          <w:tcPr>
            <w:tcW w:w="120" w:type="dxa"/>
            <w:vAlign w:val="bottom"/>
          </w:tcPr>
          <w:p>
            <w:pPr>
              <w:spacing w:after="0"/>
              <w:rPr>
                <w:sz w:val="22"/>
                <w:szCs w:val="22"/>
                <w:color w:val="auto"/>
              </w:rPr>
            </w:pPr>
          </w:p>
        </w:tc>
        <w:tc>
          <w:tcPr>
            <w:tcW w:w="240" w:type="dxa"/>
            <w:vAlign w:val="bottom"/>
            <w:tcBorders>
              <w:bottom w:val="single" w:sz="8" w:color="005BA5"/>
            </w:tcBorders>
          </w:tcPr>
          <w:p>
            <w:pPr>
              <w:spacing w:after="0"/>
              <w:rPr>
                <w:sz w:val="22"/>
                <w:szCs w:val="22"/>
                <w:color w:val="auto"/>
              </w:rPr>
            </w:pPr>
          </w:p>
        </w:tc>
        <w:tc>
          <w:tcPr>
            <w:tcW w:w="820" w:type="dxa"/>
            <w:vAlign w:val="bottom"/>
            <w:tcBorders>
              <w:bottom w:val="single" w:sz="8" w:color="005BA5"/>
            </w:tcBorders>
          </w:tcPr>
          <w:p>
            <w:pPr>
              <w:jc w:val="right"/>
              <w:ind w:right="319"/>
              <w:spacing w:after="0"/>
              <w:rPr>
                <w:sz w:val="20"/>
                <w:szCs w:val="20"/>
                <w:color w:val="auto"/>
              </w:rPr>
            </w:pPr>
            <w:r>
              <w:rPr>
                <w:rFonts w:ascii="Arial" w:cs="Arial" w:eastAsia="Arial" w:hAnsi="Arial"/>
                <w:sz w:val="16"/>
                <w:szCs w:val="16"/>
                <w:b w:val="1"/>
                <w:bCs w:val="1"/>
                <w:color w:val="auto"/>
              </w:rPr>
              <w:t>Tax</w:t>
            </w:r>
          </w:p>
        </w:tc>
        <w:tc>
          <w:tcPr>
            <w:tcW w:w="100" w:type="dxa"/>
            <w:vAlign w:val="bottom"/>
          </w:tcPr>
          <w:p>
            <w:pPr>
              <w:spacing w:after="0"/>
              <w:rPr>
                <w:sz w:val="22"/>
                <w:szCs w:val="22"/>
                <w:color w:val="auto"/>
              </w:rPr>
            </w:pPr>
          </w:p>
        </w:tc>
        <w:tc>
          <w:tcPr>
            <w:tcW w:w="160" w:type="dxa"/>
            <w:vAlign w:val="bottom"/>
            <w:tcBorders>
              <w:bottom w:val="single" w:sz="8" w:color="005BA5"/>
            </w:tcBorders>
          </w:tcPr>
          <w:p>
            <w:pPr>
              <w:spacing w:after="0"/>
              <w:rPr>
                <w:sz w:val="22"/>
                <w:szCs w:val="22"/>
                <w:color w:val="auto"/>
              </w:rPr>
            </w:pPr>
          </w:p>
        </w:tc>
        <w:tc>
          <w:tcPr>
            <w:tcW w:w="860" w:type="dxa"/>
            <w:vAlign w:val="bottom"/>
            <w:tcBorders>
              <w:bottom w:val="single" w:sz="8" w:color="005BA5"/>
            </w:tcBorders>
          </w:tcPr>
          <w:p>
            <w:pPr>
              <w:jc w:val="right"/>
              <w:ind w:right="119"/>
              <w:spacing w:after="0"/>
              <w:rPr>
                <w:sz w:val="20"/>
                <w:szCs w:val="20"/>
                <w:color w:val="auto"/>
              </w:rPr>
            </w:pPr>
            <w:r>
              <w:rPr>
                <w:rFonts w:ascii="Arial" w:cs="Arial" w:eastAsia="Arial" w:hAnsi="Arial"/>
                <w:sz w:val="16"/>
                <w:szCs w:val="16"/>
                <w:b w:val="1"/>
                <w:bCs w:val="1"/>
                <w:color w:val="auto"/>
                <w:w w:val="97"/>
              </w:rPr>
              <w:t>After-tax</w:t>
            </w:r>
          </w:p>
        </w:tc>
        <w:tc>
          <w:tcPr>
            <w:tcW w:w="100" w:type="dxa"/>
            <w:vAlign w:val="bottom"/>
          </w:tcPr>
          <w:p>
            <w:pPr>
              <w:spacing w:after="0"/>
              <w:rPr>
                <w:sz w:val="22"/>
                <w:szCs w:val="22"/>
                <w:color w:val="auto"/>
              </w:rPr>
            </w:pPr>
          </w:p>
        </w:tc>
        <w:tc>
          <w:tcPr>
            <w:tcW w:w="180" w:type="dxa"/>
            <w:vAlign w:val="bottom"/>
            <w:tcBorders>
              <w:bottom w:val="single" w:sz="8" w:color="005BA5"/>
            </w:tcBorders>
          </w:tcPr>
          <w:p>
            <w:pPr>
              <w:spacing w:after="0"/>
              <w:rPr>
                <w:sz w:val="22"/>
                <w:szCs w:val="22"/>
                <w:color w:val="auto"/>
              </w:rPr>
            </w:pPr>
          </w:p>
        </w:tc>
        <w:tc>
          <w:tcPr>
            <w:tcW w:w="840" w:type="dxa"/>
            <w:vAlign w:val="bottom"/>
            <w:tcBorders>
              <w:bottom w:val="single" w:sz="8" w:color="005BA5"/>
            </w:tcBorders>
          </w:tcPr>
          <w:p>
            <w:pPr>
              <w:jc w:val="right"/>
              <w:ind w:right="179"/>
              <w:spacing w:after="0"/>
              <w:rPr>
                <w:sz w:val="20"/>
                <w:szCs w:val="20"/>
                <w:color w:val="auto"/>
              </w:rPr>
            </w:pPr>
            <w:r>
              <w:rPr>
                <w:rFonts w:ascii="Arial" w:cs="Arial" w:eastAsia="Arial" w:hAnsi="Arial"/>
                <w:sz w:val="16"/>
                <w:szCs w:val="16"/>
                <w:b w:val="1"/>
                <w:bCs w:val="1"/>
                <w:color w:val="auto"/>
              </w:rPr>
              <w:t>Pre-tax</w:t>
            </w:r>
          </w:p>
        </w:tc>
        <w:tc>
          <w:tcPr>
            <w:tcW w:w="100" w:type="dxa"/>
            <w:vAlign w:val="bottom"/>
          </w:tcPr>
          <w:p>
            <w:pPr>
              <w:spacing w:after="0"/>
              <w:rPr>
                <w:sz w:val="22"/>
                <w:szCs w:val="22"/>
                <w:color w:val="auto"/>
              </w:rPr>
            </w:pPr>
          </w:p>
        </w:tc>
        <w:tc>
          <w:tcPr>
            <w:tcW w:w="240" w:type="dxa"/>
            <w:vAlign w:val="bottom"/>
            <w:tcBorders>
              <w:bottom w:val="single" w:sz="8" w:color="005BA5"/>
            </w:tcBorders>
          </w:tcPr>
          <w:p>
            <w:pPr>
              <w:spacing w:after="0"/>
              <w:rPr>
                <w:sz w:val="22"/>
                <w:szCs w:val="22"/>
                <w:color w:val="auto"/>
              </w:rPr>
            </w:pPr>
          </w:p>
        </w:tc>
        <w:tc>
          <w:tcPr>
            <w:tcW w:w="780" w:type="dxa"/>
            <w:vAlign w:val="bottom"/>
            <w:tcBorders>
              <w:bottom w:val="single" w:sz="8" w:color="005BA5"/>
            </w:tcBorders>
          </w:tcPr>
          <w:p>
            <w:pPr>
              <w:jc w:val="right"/>
              <w:ind w:right="299"/>
              <w:spacing w:after="0"/>
              <w:rPr>
                <w:sz w:val="20"/>
                <w:szCs w:val="20"/>
                <w:color w:val="auto"/>
              </w:rPr>
            </w:pPr>
            <w:r>
              <w:rPr>
                <w:rFonts w:ascii="Arial" w:cs="Arial" w:eastAsia="Arial" w:hAnsi="Arial"/>
                <w:sz w:val="16"/>
                <w:szCs w:val="16"/>
                <w:b w:val="1"/>
                <w:bCs w:val="1"/>
                <w:color w:val="auto"/>
              </w:rPr>
              <w:t>Tax</w:t>
            </w:r>
          </w:p>
        </w:tc>
        <w:tc>
          <w:tcPr>
            <w:tcW w:w="100" w:type="dxa"/>
            <w:vAlign w:val="bottom"/>
          </w:tcPr>
          <w:p>
            <w:pPr>
              <w:spacing w:after="0"/>
              <w:rPr>
                <w:sz w:val="22"/>
                <w:szCs w:val="22"/>
                <w:color w:val="auto"/>
              </w:rPr>
            </w:pPr>
          </w:p>
        </w:tc>
        <w:tc>
          <w:tcPr>
            <w:tcW w:w="160" w:type="dxa"/>
            <w:vAlign w:val="bottom"/>
            <w:tcBorders>
              <w:bottom w:val="single" w:sz="8" w:color="005BA5"/>
            </w:tcBorders>
          </w:tcPr>
          <w:p>
            <w:pPr>
              <w:spacing w:after="0"/>
              <w:rPr>
                <w:sz w:val="22"/>
                <w:szCs w:val="22"/>
                <w:color w:val="auto"/>
              </w:rPr>
            </w:pPr>
          </w:p>
        </w:tc>
        <w:tc>
          <w:tcPr>
            <w:tcW w:w="860" w:type="dxa"/>
            <w:vAlign w:val="bottom"/>
            <w:tcBorders>
              <w:bottom w:val="single" w:sz="8" w:color="005BA5"/>
            </w:tcBorders>
          </w:tcPr>
          <w:p>
            <w:pPr>
              <w:jc w:val="right"/>
              <w:ind w:right="99"/>
              <w:spacing w:after="0"/>
              <w:rPr>
                <w:sz w:val="20"/>
                <w:szCs w:val="20"/>
                <w:color w:val="auto"/>
              </w:rPr>
            </w:pPr>
            <w:r>
              <w:rPr>
                <w:rFonts w:ascii="Arial" w:cs="Arial" w:eastAsia="Arial" w:hAnsi="Arial"/>
                <w:sz w:val="16"/>
                <w:szCs w:val="16"/>
                <w:b w:val="1"/>
                <w:bCs w:val="1"/>
                <w:color w:val="auto"/>
              </w:rPr>
              <w:t>After-tax</w:t>
            </w:r>
          </w:p>
        </w:tc>
      </w:tr>
      <w:tr>
        <w:trPr>
          <w:trHeight w:val="219"/>
        </w:trPr>
        <w:tc>
          <w:tcPr>
            <w:tcW w:w="4700" w:type="dxa"/>
            <w:vAlign w:val="bottom"/>
            <w:gridSpan w:val="3"/>
          </w:tcPr>
          <w:p>
            <w:pPr>
              <w:ind w:left="40"/>
              <w:spacing w:after="0"/>
              <w:rPr>
                <w:sz w:val="20"/>
                <w:szCs w:val="20"/>
                <w:color w:val="auto"/>
              </w:rPr>
            </w:pPr>
            <w:r>
              <w:rPr>
                <w:rFonts w:ascii="Arial" w:cs="Arial" w:eastAsia="Arial" w:hAnsi="Arial"/>
                <w:sz w:val="16"/>
                <w:szCs w:val="16"/>
                <w:color w:val="auto"/>
                <w:w w:val="94"/>
              </w:rPr>
              <w:t>Unrealized net holding gains and losses arising during the period, net</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of related offsets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1,287</w:t>
            </w:r>
          </w:p>
        </w:tc>
        <w:tc>
          <w:tcPr>
            <w:tcW w:w="1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(273)</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33"/>
        </w:trPr>
        <w:tc>
          <w:tcPr>
            <w:tcW w:w="458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3"/>
          </w:tcPr>
          <w:p>
            <w:pPr>
              <w:ind w:left="40"/>
              <w:spacing w:after="0"/>
              <w:rPr>
                <w:sz w:val="20"/>
                <w:szCs w:val="20"/>
                <w:color w:val="auto"/>
              </w:rPr>
            </w:pPr>
            <w:r>
              <w:rPr>
                <w:rFonts w:ascii="Arial" w:cs="Arial" w:eastAsia="Arial" w:hAnsi="Arial"/>
                <w:sz w:val="16"/>
                <w:szCs w:val="16"/>
                <w:color w:val="auto"/>
                <w:w w:val="96"/>
              </w:rPr>
              <w:t>Less: reclassification adjustment of realized capital gains and losses</w:t>
            </w:r>
          </w:p>
        </w:tc>
        <w:tc>
          <w:tcPr>
            <w:tcW w:w="2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458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Unrealized net capital gains and losses</w:t>
            </w:r>
          </w:p>
        </w:tc>
        <w:tc>
          <w:tcPr>
            <w:tcW w:w="2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1,236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974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(565)</w:t>
            </w:r>
          </w:p>
        </w:tc>
      </w:tr>
      <w:tr>
        <w:trPr>
          <w:trHeight w:val="33"/>
        </w:trPr>
        <w:tc>
          <w:tcPr>
            <w:tcW w:w="458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Unrealized foreign currency translation adjustments</w:t>
            </w:r>
          </w:p>
        </w:tc>
        <w:tc>
          <w:tcPr>
            <w:tcW w:w="20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w:t>
            </w:r>
          </w:p>
        </w:tc>
      </w:tr>
      <w:tr>
        <w:trPr>
          <w:trHeight w:val="33"/>
        </w:trPr>
        <w:tc>
          <w:tcPr>
            <w:tcW w:w="458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3"/>
        </w:trPr>
        <w:tc>
          <w:tcPr>
            <w:tcW w:w="4700" w:type="dxa"/>
            <w:vAlign w:val="bottom"/>
            <w:gridSpan w:val="3"/>
          </w:tcPr>
          <w:p>
            <w:pPr>
              <w:ind w:left="40"/>
              <w:spacing w:after="0"/>
              <w:rPr>
                <w:sz w:val="20"/>
                <w:szCs w:val="20"/>
                <w:color w:val="auto"/>
              </w:rPr>
            </w:pPr>
            <w:r>
              <w:rPr>
                <w:rFonts w:ascii="Arial" w:cs="Arial" w:eastAsia="Arial" w:hAnsi="Arial"/>
                <w:sz w:val="16"/>
                <w:szCs w:val="16"/>
                <w:color w:val="auto"/>
                <w:w w:val="99"/>
              </w:rPr>
              <w:t>Unamortized pension and other postretirement prior service credit</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6"/>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arising during the period</w:t>
            </w:r>
          </w:p>
        </w:tc>
        <w:tc>
          <w:tcPr>
            <w:tcW w:w="20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58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3"/>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Less: reclassification adjustment of prior service credit amortized</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6"/>
        </w:trPr>
        <w:tc>
          <w:tcPr>
            <w:tcW w:w="4700" w:type="dxa"/>
            <w:vAlign w:val="bottom"/>
            <w:gridSpan w:val="3"/>
          </w:tcPr>
          <w:p>
            <w:pPr>
              <w:ind w:left="40"/>
              <w:spacing w:after="0"/>
              <w:rPr>
                <w:sz w:val="20"/>
                <w:szCs w:val="20"/>
                <w:color w:val="auto"/>
              </w:rPr>
            </w:pPr>
            <w:r>
              <w:rPr>
                <w:rFonts w:ascii="Arial" w:cs="Arial" w:eastAsia="Arial" w:hAnsi="Arial"/>
                <w:sz w:val="16"/>
                <w:szCs w:val="16"/>
                <w:color w:val="auto"/>
              </w:rPr>
              <w:t>into operating costs and expenses</w:t>
            </w:r>
          </w:p>
        </w:tc>
        <w:tc>
          <w:tcPr>
            <w:tcW w:w="20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458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09"/>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Unamortized pension and other postretirement prior service</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440" w:type="dxa"/>
            <w:vAlign w:val="bottom"/>
          </w:tcPr>
          <w:p>
            <w:pPr>
              <w:ind w:left="40"/>
              <w:spacing w:after="0"/>
              <w:rPr>
                <w:sz w:val="20"/>
                <w:szCs w:val="20"/>
                <w:color w:val="auto"/>
              </w:rPr>
            </w:pPr>
            <w:r>
              <w:rPr>
                <w:rFonts w:ascii="Arial" w:cs="Arial" w:eastAsia="Arial" w:hAnsi="Arial"/>
                <w:sz w:val="16"/>
                <w:szCs w:val="16"/>
                <w:b w:val="1"/>
                <w:bCs w:val="1"/>
                <w:color w:val="auto"/>
                <w:w w:val="87"/>
              </w:rPr>
              <w:t>credit</w:t>
            </w:r>
          </w:p>
        </w:tc>
        <w:tc>
          <w:tcPr>
            <w:tcW w:w="4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33"/>
        </w:trPr>
        <w:tc>
          <w:tcPr>
            <w:tcW w:w="458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217"/>
        </w:trPr>
        <w:tc>
          <w:tcPr>
            <w:tcW w:w="470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1,227</w:t>
            </w:r>
          </w:p>
        </w:tc>
        <w:tc>
          <w:tcPr>
            <w:tcW w:w="12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(260)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b w:val="1"/>
                <w:bCs w:val="1"/>
                <w:color w:val="auto"/>
              </w:rPr>
              <w:t>967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(737)</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b w:val="1"/>
                <w:bCs w:val="1"/>
                <w:color w:val="auto"/>
              </w:rPr>
              <w:t>156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(581)</w:t>
            </w:r>
          </w:p>
        </w:tc>
      </w:tr>
      <w:tr>
        <w:trPr>
          <w:trHeight w:val="33"/>
        </w:trPr>
        <w:tc>
          <w:tcPr>
            <w:tcW w:w="440" w:type="dxa"/>
            <w:vAlign w:val="bottom"/>
            <w:tcBorders>
              <w:bottom w:val="single" w:sz="8" w:color="005BA5"/>
            </w:tcBorders>
          </w:tcPr>
          <w:p>
            <w:pPr>
              <w:spacing w:after="0"/>
              <w:rPr>
                <w:sz w:val="2"/>
                <w:szCs w:val="2"/>
                <w:color w:val="auto"/>
              </w:rPr>
            </w:pPr>
          </w:p>
        </w:tc>
        <w:tc>
          <w:tcPr>
            <w:tcW w:w="41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r>
      <w:tr>
        <w:trPr>
          <w:trHeight w:val="676"/>
        </w:trPr>
        <w:tc>
          <w:tcPr>
            <w:tcW w:w="440" w:type="dxa"/>
            <w:vAlign w:val="bottom"/>
          </w:tcPr>
          <w:p>
            <w:pPr>
              <w:spacing w:after="0"/>
              <w:rPr>
                <w:sz w:val="20"/>
                <w:szCs w:val="20"/>
                <w:color w:val="auto"/>
              </w:rPr>
            </w:pPr>
            <w:r>
              <w:rPr>
                <w:rFonts w:ascii="Arial" w:cs="Arial" w:eastAsia="Arial" w:hAnsi="Arial"/>
                <w:sz w:val="16"/>
                <w:szCs w:val="16"/>
                <w:color w:val="1666AF"/>
              </w:rPr>
              <w:t>44</w:t>
            </w: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www.allstate.com</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-141605</wp:posOffset>
            </wp:positionV>
            <wp:extent cx="111760" cy="1117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20"/>
          <w:szCs w:val="20"/>
          <w:b w:val="1"/>
          <w:bCs w:val="1"/>
          <w:color w:val="1666AF"/>
        </w:rPr>
        <w:t>Report of Independent Registered Public Accounting Firm</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the Board of Directors and Shareholders of</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Allstate Corporation</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Northbrook, Illinois 60062</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Results of Review of Interim Financial Information</w:t>
      </w:r>
    </w:p>
    <w:p>
      <w:pPr>
        <w:spacing w:after="0" w:line="1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We have reviewed the accompanying condensed consolidated statement of financial position of The Allstate Corporation and subsidiaries (the “Company”) as of March 31, 2019, the related condensed consolidated statements of operations, comprehensive income, shareholders’ equity and cash flows for the three month periods ended March 31, 2019 and 2018, and the related notes (collectively referred to as the “condensed consolidated financial statements”). Based on our reviews, we are not aware of any material modifications that should be made to the accompanying condensed consolidated financial statements for them to be in conformity with accounting principles generally accepted in the United States of America.</w:t>
      </w:r>
    </w:p>
    <w:p>
      <w:pPr>
        <w:spacing w:after="0" w:line="95" w:lineRule="exact"/>
        <w:rPr>
          <w:sz w:val="20"/>
          <w:szCs w:val="20"/>
          <w:color w:val="auto"/>
        </w:rPr>
      </w:pPr>
    </w:p>
    <w:p>
      <w:pPr>
        <w:ind w:right="60" w:firstLine="324"/>
        <w:spacing w:after="0" w:line="248"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(“PCAOB”), the consolidated statement of financial position of The Allstate Corporation and subsidiaries as of December 31, 2018, and the related consolidated statements of operations, comprehensive income, shareholders’ equity, and cash flows for the year then ended prior to retrospective adjustment for a change in the Company’s principles of accounting for recognizing pension and other postretirement benefit plan costs (not presented herein); and in our report dated February 15, 2019, we expressed an unqualified opinion on those consolidated financial statements (which report expresses an unmodified opinion and includes an emphasis-of-matter paragraph relating to a change in accounting principle for the recognition and measurement of financial assets and financial liabilities). We also audited the adjustments described in Note 1 that were applied to retrospectively adjust the December 31, 2018 consolidated statement of financial position. In our opinion, such adjustments are appropriate and have been properly applied to the previously issued consolidated statement of financial position in deriving the accompanying retrospectively adjusted condensed consolidated statement of financial position as of December 31, 2018.</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Basis for Review Results</w:t>
      </w:r>
    </w:p>
    <w:p>
      <w:pPr>
        <w:spacing w:after="0" w:line="133" w:lineRule="exact"/>
        <w:rPr>
          <w:sz w:val="20"/>
          <w:szCs w:val="20"/>
          <w:color w:val="auto"/>
        </w:rPr>
      </w:pPr>
    </w:p>
    <w:p>
      <w:pPr>
        <w:jc w:val="both"/>
        <w:ind w:right="80" w:firstLine="324"/>
        <w:spacing w:after="0" w:line="253" w:lineRule="auto"/>
        <w:rPr>
          <w:sz w:val="20"/>
          <w:szCs w:val="20"/>
          <w:color w:val="auto"/>
        </w:rPr>
      </w:pPr>
      <w:r>
        <w:rPr>
          <w:rFonts w:ascii="Arial" w:cs="Arial" w:eastAsia="Arial" w:hAnsi="Arial"/>
          <w:sz w:val="16"/>
          <w:szCs w:val="16"/>
          <w:color w:val="auto"/>
        </w:rPr>
        <w:t>These condensed consolidated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right="140" w:firstLine="324"/>
        <w:spacing w:after="0" w:line="251" w:lineRule="auto"/>
        <w:rPr>
          <w:sz w:val="20"/>
          <w:szCs w:val="20"/>
          <w:color w:val="auto"/>
        </w:rPr>
      </w:pPr>
      <w:r>
        <w:rPr>
          <w:rFonts w:ascii="Arial" w:cs="Arial" w:eastAsia="Arial" w:hAnsi="Arial"/>
          <w:sz w:val="16"/>
          <w:szCs w:val="16"/>
          <w:color w:val="auto"/>
        </w:rPr>
        <w:t>We conducted our reviews in accordance with standards of the PCAOB. A review of the condensed consolidated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Emphasis of a Matter</w:t>
      </w:r>
    </w:p>
    <w:p>
      <w:pPr>
        <w:spacing w:after="0" w:line="133"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As discussed in Note 1 to the condensed consolidated financial statements, the Company elected to change its principles of accounting for recognizing pension and other postretirement benefit plan costs.</w:t>
      </w:r>
    </w:p>
    <w:p>
      <w:pPr>
        <w:spacing w:after="0" w:line="3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 DELOITTE &amp; TOUCHE LLP</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Chicago, Illinois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May 1, 2019</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45</w:t>
      </w:r>
    </w:p>
    <w:p>
      <w:pPr>
        <w:sectPr>
          <w:pgSz w:w="11900" w:h="16838" w:orient="portrait"/>
          <w:cols w:equalWidth="0" w:num="1">
            <w:col w:w="11420"/>
          </w:cols>
          <w:pgMar w:left="240" w:top="355" w:right="239" w:bottom="1440" w:gutter="0" w:footer="0" w:header="0"/>
        </w:sectPr>
      </w:pPr>
    </w:p>
    <w:bookmarkStart w:id="49" w:name="page50"/>
    <w:bookmarkEnd w:id="49"/>
    <w:p>
      <w:pPr>
        <w:jc w:val="center"/>
        <w:ind w:left="220" w:right="200"/>
        <w:spacing w:after="0" w:line="272" w:lineRule="auto"/>
        <w:rPr>
          <w:sz w:val="20"/>
          <w:szCs w:val="20"/>
          <w:color w:val="auto"/>
        </w:rPr>
      </w:pPr>
      <w:r>
        <w:rPr>
          <w:rFonts w:ascii="Arial" w:cs="Arial" w:eastAsia="Arial" w:hAnsi="Arial"/>
          <w:sz w:val="20"/>
          <w:szCs w:val="20"/>
          <w:b w:val="1"/>
          <w:bCs w:val="1"/>
          <w:color w:val="1666AF"/>
        </w:rPr>
        <w:t>Item 2. Management’s Discussion and Analysis of Financial Condition and Results of Operations for the Three Month Periods Ended March 31, 2019 and 2018</w:t>
      </w:r>
    </w:p>
    <w:p>
      <w:pPr>
        <w:sectPr>
          <w:pgSz w:w="11900" w:h="16838" w:orient="portrait"/>
          <w:cols w:equalWidth="0" w:num="1">
            <w:col w:w="11420"/>
          </w:cols>
          <w:pgMar w:left="240" w:top="355" w:right="239" w:bottom="1440" w:gutter="0" w:footer="0" w:header="0"/>
        </w:sectPr>
      </w:pP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Overview</w:t>
      </w:r>
    </w:p>
    <w:p>
      <w:pPr>
        <w:spacing w:after="0" w:line="79" w:lineRule="exact"/>
        <w:rPr>
          <w:sz w:val="20"/>
          <w:szCs w:val="20"/>
          <w:color w:val="auto"/>
        </w:rPr>
      </w:pPr>
    </w:p>
    <w:p>
      <w:pPr>
        <w:ind w:right="560" w:firstLine="324"/>
        <w:spacing w:after="0" w:line="260" w:lineRule="auto"/>
        <w:rPr>
          <w:sz w:val="20"/>
          <w:szCs w:val="20"/>
          <w:color w:val="auto"/>
        </w:rPr>
      </w:pPr>
      <w:r>
        <w:rPr>
          <w:rFonts w:ascii="Arial" w:cs="Arial" w:eastAsia="Arial" w:hAnsi="Arial"/>
          <w:sz w:val="16"/>
          <w:szCs w:val="16"/>
          <w:color w:val="auto"/>
        </w:rPr>
        <w:t>To achieve its goals in 2019, Allstate is focused on the following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71755</wp:posOffset>
            </wp:positionV>
            <wp:extent cx="3353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23" w:lineRule="exact"/>
        <w:rPr>
          <w:sz w:val="20"/>
          <w:szCs w:val="20"/>
          <w:color w:val="auto"/>
        </w:rPr>
      </w:pPr>
    </w:p>
    <w:p>
      <w:pPr>
        <w:ind w:left="280" w:hanging="146"/>
        <w:spacing w:after="0"/>
        <w:tabs>
          <w:tab w:leader="none" w:pos="280" w:val="left"/>
        </w:tabs>
        <w:numPr>
          <w:ilvl w:val="0"/>
          <w:numId w:val="24"/>
        </w:numPr>
        <w:rPr>
          <w:rFonts w:ascii="Arial" w:cs="Arial" w:eastAsia="Arial" w:hAnsi="Arial"/>
          <w:sz w:val="16"/>
          <w:szCs w:val="16"/>
          <w:i w:val="1"/>
          <w:iCs w:val="1"/>
          <w:color w:val="005BA5"/>
        </w:rPr>
      </w:pPr>
      <w:r>
        <w:rPr>
          <w:rFonts w:ascii="Arial" w:cs="Arial" w:eastAsia="Arial" w:hAnsi="Arial"/>
          <w:sz w:val="16"/>
          <w:szCs w:val="16"/>
          <w:i w:val="1"/>
          <w:iCs w:val="1"/>
          <w:color w:val="auto"/>
        </w:rPr>
        <w:t>Better serve customers</w:t>
      </w:r>
    </w:p>
    <w:p>
      <w:pPr>
        <w:spacing w:after="0" w:line="86" w:lineRule="exact"/>
        <w:rPr>
          <w:rFonts w:ascii="Arial" w:cs="Arial" w:eastAsia="Arial" w:hAnsi="Arial"/>
          <w:sz w:val="16"/>
          <w:szCs w:val="16"/>
          <w:i w:val="1"/>
          <w:iCs w:val="1"/>
          <w:color w:val="005BA5"/>
        </w:rPr>
      </w:pPr>
    </w:p>
    <w:p>
      <w:pPr>
        <w:ind w:left="240" w:hanging="106"/>
        <w:spacing w:after="0"/>
        <w:tabs>
          <w:tab w:leader="none" w:pos="240" w:val="left"/>
        </w:tabs>
        <w:numPr>
          <w:ilvl w:val="0"/>
          <w:numId w:val="24"/>
        </w:numPr>
        <w:rPr>
          <w:rFonts w:ascii="Arial" w:cs="Arial" w:eastAsia="Arial" w:hAnsi="Arial"/>
          <w:sz w:val="16"/>
          <w:szCs w:val="16"/>
          <w:i w:val="1"/>
          <w:iCs w:val="1"/>
          <w:color w:val="005BA5"/>
        </w:rPr>
      </w:pPr>
      <w:r>
        <w:rPr>
          <w:rFonts w:ascii="Arial" w:cs="Arial" w:eastAsia="Arial" w:hAnsi="Arial"/>
          <w:sz w:val="16"/>
          <w:szCs w:val="16"/>
          <w:i w:val="1"/>
          <w:iCs w:val="1"/>
          <w:color w:val="auto"/>
        </w:rPr>
        <w:t>Achieve target economic returns on capital</w:t>
      </w:r>
    </w:p>
    <w:p>
      <w:pPr>
        <w:spacing w:after="0" w:line="86" w:lineRule="exact"/>
        <w:rPr>
          <w:rFonts w:ascii="Arial" w:cs="Arial" w:eastAsia="Arial" w:hAnsi="Arial"/>
          <w:sz w:val="16"/>
          <w:szCs w:val="16"/>
          <w:i w:val="1"/>
          <w:iCs w:val="1"/>
          <w:color w:val="005BA5"/>
        </w:rPr>
      </w:pPr>
    </w:p>
    <w:p>
      <w:pPr>
        <w:ind w:left="240" w:hanging="106"/>
        <w:spacing w:after="0"/>
        <w:tabs>
          <w:tab w:leader="none" w:pos="240" w:val="left"/>
        </w:tabs>
        <w:numPr>
          <w:ilvl w:val="0"/>
          <w:numId w:val="24"/>
        </w:numPr>
        <w:rPr>
          <w:rFonts w:ascii="Arial" w:cs="Arial" w:eastAsia="Arial" w:hAnsi="Arial"/>
          <w:sz w:val="16"/>
          <w:szCs w:val="16"/>
          <w:i w:val="1"/>
          <w:iCs w:val="1"/>
          <w:color w:val="005BA5"/>
        </w:rPr>
      </w:pPr>
      <w:r>
        <w:rPr>
          <w:rFonts w:ascii="Arial" w:cs="Arial" w:eastAsia="Arial" w:hAnsi="Arial"/>
          <w:sz w:val="16"/>
          <w:szCs w:val="16"/>
          <w:i w:val="1"/>
          <w:iCs w:val="1"/>
          <w:color w:val="auto"/>
        </w:rPr>
        <w:t>Grow customer base</w:t>
      </w:r>
    </w:p>
    <w:p>
      <w:pPr>
        <w:spacing w:after="0" w:line="86" w:lineRule="exact"/>
        <w:rPr>
          <w:rFonts w:ascii="Arial" w:cs="Arial" w:eastAsia="Arial" w:hAnsi="Arial"/>
          <w:sz w:val="16"/>
          <w:szCs w:val="16"/>
          <w:i w:val="1"/>
          <w:iCs w:val="1"/>
          <w:color w:val="005BA5"/>
        </w:rPr>
      </w:pPr>
    </w:p>
    <w:p>
      <w:pPr>
        <w:ind w:left="240" w:hanging="106"/>
        <w:spacing w:after="0"/>
        <w:tabs>
          <w:tab w:leader="none" w:pos="240" w:val="left"/>
        </w:tabs>
        <w:numPr>
          <w:ilvl w:val="0"/>
          <w:numId w:val="24"/>
        </w:numPr>
        <w:rPr>
          <w:rFonts w:ascii="Arial" w:cs="Arial" w:eastAsia="Arial" w:hAnsi="Arial"/>
          <w:sz w:val="16"/>
          <w:szCs w:val="16"/>
          <w:i w:val="1"/>
          <w:iCs w:val="1"/>
          <w:color w:val="005BA5"/>
        </w:rPr>
      </w:pPr>
      <w:r>
        <w:rPr>
          <w:rFonts w:ascii="Arial" w:cs="Arial" w:eastAsia="Arial" w:hAnsi="Arial"/>
          <w:sz w:val="16"/>
          <w:szCs w:val="16"/>
          <w:i w:val="1"/>
          <w:iCs w:val="1"/>
          <w:color w:val="auto"/>
        </w:rPr>
        <w:t>Proactively manage investments</w:t>
      </w:r>
    </w:p>
    <w:p>
      <w:pPr>
        <w:spacing w:after="0" w:line="86" w:lineRule="exact"/>
        <w:rPr>
          <w:rFonts w:ascii="Arial" w:cs="Arial" w:eastAsia="Arial" w:hAnsi="Arial"/>
          <w:sz w:val="16"/>
          <w:szCs w:val="16"/>
          <w:i w:val="1"/>
          <w:iCs w:val="1"/>
          <w:color w:val="005BA5"/>
        </w:rPr>
      </w:pPr>
    </w:p>
    <w:p>
      <w:pPr>
        <w:ind w:left="240" w:hanging="106"/>
        <w:spacing w:after="0"/>
        <w:tabs>
          <w:tab w:leader="none" w:pos="240" w:val="left"/>
        </w:tabs>
        <w:numPr>
          <w:ilvl w:val="0"/>
          <w:numId w:val="24"/>
        </w:numPr>
        <w:rPr>
          <w:rFonts w:ascii="Arial" w:cs="Arial" w:eastAsia="Arial" w:hAnsi="Arial"/>
          <w:sz w:val="16"/>
          <w:szCs w:val="16"/>
          <w:i w:val="1"/>
          <w:iCs w:val="1"/>
          <w:color w:val="005BA5"/>
        </w:rPr>
      </w:pPr>
      <w:r>
        <w:rPr>
          <w:rFonts w:ascii="Arial" w:cs="Arial" w:eastAsia="Arial" w:hAnsi="Arial"/>
          <w:sz w:val="16"/>
          <w:szCs w:val="16"/>
          <w:i w:val="1"/>
          <w:iCs w:val="1"/>
          <w:color w:val="auto"/>
        </w:rPr>
        <w:t>Build long-term growth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34925</wp:posOffset>
            </wp:positionV>
            <wp:extent cx="3353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-135890</wp:posOffset>
            </wp:positionV>
            <wp:extent cx="33534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-307340</wp:posOffset>
            </wp:positionV>
            <wp:extent cx="33534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-478790</wp:posOffset>
            </wp:positionV>
            <wp:extent cx="33534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53435" cy="889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-650240</wp:posOffset>
            </wp:positionV>
            <wp:extent cx="33534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159" w:lineRule="exact"/>
        <w:rPr>
          <w:sz w:val="20"/>
          <w:szCs w:val="20"/>
          <w:color w:val="auto"/>
        </w:rPr>
      </w:pPr>
    </w:p>
    <w:p>
      <w:pPr>
        <w:ind w:firstLine="324"/>
        <w:spacing w:after="0" w:line="246" w:lineRule="auto"/>
        <w:rPr>
          <w:sz w:val="20"/>
          <w:szCs w:val="20"/>
          <w:color w:val="auto"/>
        </w:rPr>
      </w:pPr>
      <w:r>
        <w:rPr>
          <w:rFonts w:ascii="Arial" w:cs="Arial" w:eastAsia="Arial" w:hAnsi="Arial"/>
          <w:sz w:val="16"/>
          <w:szCs w:val="16"/>
          <w:color w:val="auto"/>
        </w:rPr>
        <w:t>The following discussion highlights significant factors influencing the consolidated financial position and results of operations of The Allstate Corporation (referred to in this document as “we,” “our,” “us,” the “Company” or “Allstate”). It should be read in conjunction with the condensed consolidated financial statements and notes thereto found under Part I. Item</w:t>
      </w:r>
    </w:p>
    <w:p>
      <w:pPr>
        <w:spacing w:after="0" w:line="2" w:lineRule="exact"/>
        <w:rPr>
          <w:sz w:val="20"/>
          <w:szCs w:val="20"/>
          <w:color w:val="auto"/>
        </w:rPr>
      </w:pPr>
    </w:p>
    <w:p>
      <w:pPr>
        <w:ind w:firstLine="8"/>
        <w:spacing w:after="0" w:line="246"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contained herein, and with the discussion, analysis, consolidated financial statements and notes thereto in Part I. Item 1. and Part II. Item 7. and Item</w:t>
      </w:r>
    </w:p>
    <w:p>
      <w:pPr>
        <w:ind w:right="60" w:firstLine="8"/>
        <w:spacing w:after="0" w:line="248" w:lineRule="auto"/>
        <w:tabs>
          <w:tab w:leader="none" w:pos="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of The Allstate Corporation annual report on Form 10-K for 2018. Further analysis of our insurance segments is provided in the Property-Liability Operations and Segment Results sections, including Allstate Protection, Discontinued Lines and Coverages, Service Businesses, Allstate Life, Allstate Benefits, and Allstate Annuities, of Management’s Discussion and Analysis (“MD&amp;A”). The segments are consistent with the way in which the chief operating decision maker reviews financial performance and makes decisions about the allocation of resources.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Measuring segment profit or loss</w:t>
      </w:r>
    </w:p>
    <w:p>
      <w:pPr>
        <w:spacing w:after="0" w:line="133"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The measure of segment profit or loss used in evaluating performance is underwriting income for the Allstate Protection and Discontinued Lines and Coverages segments and adjusted net income for the Service Businesses, Allstate Life, Allstate Benefits, Allstate Annuities, and Corporate and Other segments.</w:t>
      </w:r>
    </w:p>
    <w:p>
      <w:pPr>
        <w:spacing w:after="0" w:line="79" w:lineRule="exact"/>
        <w:rPr>
          <w:sz w:val="20"/>
          <w:szCs w:val="20"/>
          <w:color w:val="auto"/>
        </w:rPr>
      </w:pPr>
    </w:p>
    <w:p>
      <w:pPr>
        <w:ind w:right="20" w:firstLine="324"/>
        <w:spacing w:after="0" w:line="250" w:lineRule="auto"/>
        <w:rPr>
          <w:sz w:val="20"/>
          <w:szCs w:val="20"/>
          <w:color w:val="auto"/>
        </w:rPr>
      </w:pPr>
      <w:r>
        <w:rPr>
          <w:rFonts w:ascii="Arial" w:cs="Arial" w:eastAsia="Arial" w:hAnsi="Arial"/>
          <w:sz w:val="16"/>
          <w:szCs w:val="16"/>
          <w:i w:val="1"/>
          <w:iCs w:val="1"/>
          <w:color w:val="1666AF"/>
        </w:rPr>
        <w:t xml:space="preserve">Underwriting income </w:t>
      </w:r>
      <w:r>
        <w:rPr>
          <w:rFonts w:ascii="Arial" w:cs="Arial" w:eastAsia="Arial" w:hAnsi="Arial"/>
          <w:sz w:val="16"/>
          <w:szCs w:val="16"/>
          <w:color w:val="000000"/>
        </w:rPr>
        <w:t>is calculated as premiums earned and other</w:t>
      </w:r>
      <w:r>
        <w:rPr>
          <w:rFonts w:ascii="Arial" w:cs="Arial" w:eastAsia="Arial" w:hAnsi="Arial"/>
          <w:sz w:val="16"/>
          <w:szCs w:val="16"/>
          <w:i w:val="1"/>
          <w:iCs w:val="1"/>
          <w:color w:val="1666AF"/>
        </w:rPr>
        <w:t xml:space="preserve"> </w:t>
      </w:r>
      <w:r>
        <w:rPr>
          <w:rFonts w:ascii="Arial" w:cs="Arial" w:eastAsia="Arial" w:hAnsi="Arial"/>
          <w:sz w:val="16"/>
          <w:szCs w:val="16"/>
          <w:color w:val="000000"/>
        </w:rPr>
        <w:t>revenue, less claims and claims expense (“losses”), amortization of deferred policy acquisition costs (“DAC”), operating costs and expenses, amortization of purchased intangible assets and restructuring and related charges, as determined using accounting principles generally accepted in the United States of America (“GAAP”). We use this measure in our evaluation of results of operations to analyze the profitability of the Property-Liability insurance operations separately from investment results. Underwriting income is reconciled to net income applicable to common shareholders in the Property-Liability Operations section of Management’s Discussion and Analysis.</w:t>
      </w:r>
    </w:p>
    <w:p>
      <w:pPr>
        <w:spacing w:after="0" w:line="80" w:lineRule="exact"/>
        <w:rPr>
          <w:sz w:val="20"/>
          <w:szCs w:val="20"/>
          <w:color w:val="auto"/>
        </w:rPr>
      </w:pPr>
    </w:p>
    <w:p>
      <w:pPr>
        <w:ind w:right="40" w:firstLine="324"/>
        <w:spacing w:after="0" w:line="281" w:lineRule="auto"/>
        <w:rPr>
          <w:sz w:val="20"/>
          <w:szCs w:val="20"/>
          <w:color w:val="auto"/>
        </w:rPr>
      </w:pPr>
      <w:r>
        <w:rPr>
          <w:rFonts w:ascii="Arial" w:cs="Arial" w:eastAsia="Arial" w:hAnsi="Arial"/>
          <w:sz w:val="16"/>
          <w:szCs w:val="16"/>
          <w:i w:val="1"/>
          <w:iCs w:val="1"/>
          <w:color w:val="1666AF"/>
        </w:rPr>
        <w:t xml:space="preserve">Adjusted net income </w:t>
      </w:r>
      <w:r>
        <w:rPr>
          <w:rFonts w:ascii="Arial" w:cs="Arial" w:eastAsia="Arial" w:hAnsi="Arial"/>
          <w:sz w:val="16"/>
          <w:szCs w:val="16"/>
          <w:color w:val="000000"/>
        </w:rPr>
        <w:t>is net income applicable to common shareholders,</w:t>
      </w:r>
      <w:r>
        <w:rPr>
          <w:rFonts w:ascii="Arial" w:cs="Arial" w:eastAsia="Arial" w:hAnsi="Arial"/>
          <w:sz w:val="16"/>
          <w:szCs w:val="16"/>
          <w:i w:val="1"/>
          <w:iCs w:val="1"/>
          <w:color w:val="1666AF"/>
        </w:rPr>
        <w:t xml:space="preserve"> </w:t>
      </w:r>
      <w:r>
        <w:rPr>
          <w:rFonts w:ascii="Arial" w:cs="Arial" w:eastAsia="Arial" w:hAnsi="Arial"/>
          <w:sz w:val="16"/>
          <w:szCs w:val="16"/>
          <w:color w:val="000000"/>
        </w:rPr>
        <w:t>excluding: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60960</wp:posOffset>
            </wp:positionV>
            <wp:extent cx="34734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07" w:lineRule="exact"/>
        <w:rPr>
          <w:sz w:val="20"/>
          <w:szCs w:val="20"/>
          <w:color w:val="auto"/>
        </w:rPr>
      </w:pPr>
    </w:p>
    <w:p>
      <w:pPr>
        <w:jc w:val="both"/>
        <w:ind w:left="200" w:right="160" w:hanging="167"/>
        <w:spacing w:after="0" w:line="305" w:lineRule="auto"/>
        <w:tabs>
          <w:tab w:leader="none" w:pos="176" w:val="left"/>
        </w:tabs>
        <w:numPr>
          <w:ilvl w:val="0"/>
          <w:numId w:val="27"/>
        </w:numPr>
        <w:rPr>
          <w:rFonts w:ascii="Arial" w:cs="Arial" w:eastAsia="Arial" w:hAnsi="Arial"/>
          <w:sz w:val="15"/>
          <w:szCs w:val="15"/>
          <w:color w:val="005BA5"/>
        </w:rPr>
      </w:pPr>
      <w:r>
        <w:rPr>
          <w:rFonts w:ascii="Arial" w:cs="Arial" w:eastAsia="Arial" w:hAnsi="Arial"/>
          <w:sz w:val="15"/>
          <w:szCs w:val="15"/>
          <w:color w:val="auto"/>
        </w:rPr>
        <w:t>Realized capital gains and losses, after-tax, except for periodic settlements and accruals on non-hedge derivative instruments, which are reported with realized capital gains and losses but included in adjusted net income</w:t>
      </w:r>
    </w:p>
    <w:p>
      <w:pPr>
        <w:spacing w:after="0" w:line="17" w:lineRule="exact"/>
        <w:rPr>
          <w:rFonts w:ascii="Arial" w:cs="Arial" w:eastAsia="Arial" w:hAnsi="Arial"/>
          <w:sz w:val="15"/>
          <w:szCs w:val="15"/>
          <w:color w:val="005BA5"/>
        </w:rPr>
      </w:pPr>
    </w:p>
    <w:p>
      <w:pPr>
        <w:ind w:left="140" w:hanging="107"/>
        <w:spacing w:after="0"/>
        <w:tabs>
          <w:tab w:leader="none" w:pos="140" w:val="left"/>
        </w:tabs>
        <w:numPr>
          <w:ilvl w:val="0"/>
          <w:numId w:val="27"/>
        </w:numPr>
        <w:rPr>
          <w:rFonts w:ascii="Arial" w:cs="Arial" w:eastAsia="Arial" w:hAnsi="Arial"/>
          <w:sz w:val="15"/>
          <w:szCs w:val="15"/>
          <w:color w:val="005BA5"/>
        </w:rPr>
      </w:pPr>
      <w:r>
        <w:rPr>
          <w:rFonts w:ascii="Arial" w:cs="Arial" w:eastAsia="Arial" w:hAnsi="Arial"/>
          <w:sz w:val="15"/>
          <w:szCs w:val="15"/>
          <w:color w:val="auto"/>
        </w:rPr>
        <w:t>Pension and other postretirement remeasurement gains and losses, after-tax</w:t>
      </w:r>
    </w:p>
    <w:p>
      <w:pPr>
        <w:spacing w:after="0" w:line="97" w:lineRule="exact"/>
        <w:rPr>
          <w:rFonts w:ascii="Arial" w:cs="Arial" w:eastAsia="Arial" w:hAnsi="Arial"/>
          <w:sz w:val="15"/>
          <w:szCs w:val="15"/>
          <w:color w:val="005BA5"/>
        </w:rPr>
      </w:pPr>
    </w:p>
    <w:p>
      <w:pPr>
        <w:ind w:left="140" w:hanging="107"/>
        <w:spacing w:after="0"/>
        <w:tabs>
          <w:tab w:leader="none" w:pos="140" w:val="left"/>
        </w:tabs>
        <w:numPr>
          <w:ilvl w:val="0"/>
          <w:numId w:val="27"/>
        </w:numPr>
        <w:rPr>
          <w:rFonts w:ascii="Arial" w:cs="Arial" w:eastAsia="Arial" w:hAnsi="Arial"/>
          <w:sz w:val="16"/>
          <w:szCs w:val="16"/>
          <w:color w:val="005BA5"/>
        </w:rPr>
      </w:pPr>
      <w:r>
        <w:rPr>
          <w:rFonts w:ascii="Arial" w:cs="Arial" w:eastAsia="Arial" w:hAnsi="Arial"/>
          <w:sz w:val="16"/>
          <w:szCs w:val="16"/>
          <w:color w:val="auto"/>
        </w:rPr>
        <w:t>Valuation changes on embedded derivatives not hedged, after-tax</w:t>
      </w:r>
    </w:p>
    <w:p>
      <w:pPr>
        <w:spacing w:after="0" w:line="288" w:lineRule="exact"/>
        <w:rPr>
          <w:rFonts w:ascii="Arial" w:cs="Arial" w:eastAsia="Arial" w:hAnsi="Arial"/>
          <w:sz w:val="16"/>
          <w:szCs w:val="16"/>
          <w:color w:val="005BA5"/>
        </w:rPr>
      </w:pPr>
    </w:p>
    <w:p>
      <w:pPr>
        <w:ind w:left="200" w:right="120" w:hanging="167"/>
        <w:spacing w:after="0" w:line="305" w:lineRule="auto"/>
        <w:tabs>
          <w:tab w:leader="none" w:pos="135" w:val="left"/>
        </w:tabs>
        <w:numPr>
          <w:ilvl w:val="0"/>
          <w:numId w:val="27"/>
        </w:numPr>
        <w:rPr>
          <w:rFonts w:ascii="Arial" w:cs="Arial" w:eastAsia="Arial" w:hAnsi="Arial"/>
          <w:sz w:val="15"/>
          <w:szCs w:val="15"/>
          <w:color w:val="005BA5"/>
        </w:rPr>
      </w:pPr>
      <w:r>
        <w:rPr>
          <w:rFonts w:ascii="Arial" w:cs="Arial" w:eastAsia="Arial" w:hAnsi="Arial"/>
          <w:sz w:val="15"/>
          <w:szCs w:val="15"/>
          <w:color w:val="auto"/>
        </w:rPr>
        <w:t>Amortization of DAC and deferred sales inducement costs (“DSI”), to the extent they resulted from the recognition of certain realized capital gains and losses or valuation changes on embedded derivatives not hedged, after-tax</w:t>
      </w:r>
    </w:p>
    <w:p>
      <w:pPr>
        <w:spacing w:after="0" w:line="17" w:lineRule="exact"/>
        <w:rPr>
          <w:rFonts w:ascii="Arial" w:cs="Arial" w:eastAsia="Arial" w:hAnsi="Arial"/>
          <w:sz w:val="15"/>
          <w:szCs w:val="15"/>
          <w:color w:val="005BA5"/>
        </w:rPr>
      </w:pPr>
    </w:p>
    <w:p>
      <w:pPr>
        <w:ind w:left="200" w:right="360" w:hanging="167"/>
        <w:spacing w:after="0" w:line="293" w:lineRule="auto"/>
        <w:tabs>
          <w:tab w:leader="none" w:pos="135" w:val="left"/>
        </w:tabs>
        <w:numPr>
          <w:ilvl w:val="0"/>
          <w:numId w:val="27"/>
        </w:numPr>
        <w:rPr>
          <w:rFonts w:ascii="Arial" w:cs="Arial" w:eastAsia="Arial" w:hAnsi="Arial"/>
          <w:sz w:val="16"/>
          <w:szCs w:val="16"/>
          <w:color w:val="005BA5"/>
        </w:rPr>
      </w:pPr>
      <w:r>
        <w:rPr>
          <w:rFonts w:ascii="Arial" w:cs="Arial" w:eastAsia="Arial" w:hAnsi="Arial"/>
          <w:sz w:val="16"/>
          <w:szCs w:val="16"/>
          <w:color w:val="auto"/>
        </w:rPr>
        <w:t>Business combination expenses and the amortization of purchased intangible assets, after-tax</w:t>
      </w:r>
    </w:p>
    <w:p>
      <w:pPr>
        <w:spacing w:after="0" w:line="23" w:lineRule="exact"/>
        <w:rPr>
          <w:rFonts w:ascii="Arial" w:cs="Arial" w:eastAsia="Arial" w:hAnsi="Arial"/>
          <w:sz w:val="16"/>
          <w:szCs w:val="16"/>
          <w:color w:val="005BA5"/>
        </w:rPr>
      </w:pPr>
    </w:p>
    <w:p>
      <w:pPr>
        <w:ind w:left="140" w:hanging="107"/>
        <w:spacing w:after="0"/>
        <w:tabs>
          <w:tab w:leader="none" w:pos="140" w:val="left"/>
        </w:tabs>
        <w:numPr>
          <w:ilvl w:val="0"/>
          <w:numId w:val="27"/>
        </w:numPr>
        <w:rPr>
          <w:rFonts w:ascii="Arial" w:cs="Arial" w:eastAsia="Arial" w:hAnsi="Arial"/>
          <w:sz w:val="16"/>
          <w:szCs w:val="16"/>
          <w:color w:val="005BA5"/>
        </w:rPr>
      </w:pPr>
      <w:r>
        <w:rPr>
          <w:rFonts w:ascii="Arial" w:cs="Arial" w:eastAsia="Arial" w:hAnsi="Arial"/>
          <w:sz w:val="16"/>
          <w:szCs w:val="16"/>
          <w:color w:val="auto"/>
        </w:rPr>
        <w:t>Gain (loss) on disposition of operations, after-tax</w:t>
      </w:r>
    </w:p>
    <w:p>
      <w:pPr>
        <w:spacing w:after="0" w:line="86" w:lineRule="exact"/>
        <w:rPr>
          <w:rFonts w:ascii="Arial" w:cs="Arial" w:eastAsia="Arial" w:hAnsi="Arial"/>
          <w:sz w:val="16"/>
          <w:szCs w:val="16"/>
          <w:color w:val="005BA5"/>
        </w:rPr>
      </w:pPr>
    </w:p>
    <w:p>
      <w:pPr>
        <w:jc w:val="both"/>
        <w:ind w:left="200" w:right="60" w:hanging="167"/>
        <w:spacing w:after="0" w:line="273" w:lineRule="auto"/>
        <w:tabs>
          <w:tab w:leader="none" w:pos="135" w:val="left"/>
        </w:tabs>
        <w:numPr>
          <w:ilvl w:val="0"/>
          <w:numId w:val="27"/>
        </w:numPr>
        <w:rPr>
          <w:rFonts w:ascii="Arial" w:cs="Arial" w:eastAsia="Arial" w:hAnsi="Arial"/>
          <w:sz w:val="16"/>
          <w:szCs w:val="16"/>
          <w:color w:val="005BA5"/>
        </w:rPr>
      </w:pPr>
      <w:r>
        <w:rPr>
          <w:rFonts w:ascii="Arial" w:cs="Arial" w:eastAsia="Arial" w:hAnsi="Arial"/>
          <w:sz w:val="16"/>
          <w:szCs w:val="16"/>
          <w:color w:val="auto"/>
        </w:rPr>
        <w:t>Adjustments for other significant non-recurring, infrequent or unusual items, when (a) the nature of the charge or gain is such that it is reasonably unlikely to recur within two years, or (b) there has been no similar charge or gain within the prior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34734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-550545</wp:posOffset>
            </wp:positionV>
            <wp:extent cx="34734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-721995</wp:posOffset>
            </wp:positionV>
            <wp:extent cx="34734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-1022350</wp:posOffset>
            </wp:positionV>
            <wp:extent cx="34734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-1450975</wp:posOffset>
            </wp:positionV>
            <wp:extent cx="347345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-1751330</wp:posOffset>
            </wp:positionV>
            <wp:extent cx="347345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-1922780</wp:posOffset>
            </wp:positionV>
            <wp:extent cx="347345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460" w:space="480"/>
            <w:col w:w="5480"/>
          </w:cols>
          <w:pgMar w:left="240" w:top="355" w:right="239" w:bottom="1440" w:gutter="0" w:footer="0" w:header="0"/>
          <w:type w:val="continuous"/>
        </w:sectPr>
      </w:pPr>
    </w:p>
    <w:p>
      <w:pPr>
        <w:ind w:left="6260"/>
        <w:spacing w:after="0"/>
        <w:rPr>
          <w:sz w:val="20"/>
          <w:szCs w:val="20"/>
          <w:color w:val="auto"/>
        </w:rPr>
      </w:pPr>
      <w:r>
        <w:rPr>
          <w:rFonts w:ascii="Arial" w:cs="Arial" w:eastAsia="Arial" w:hAnsi="Arial"/>
          <w:sz w:val="16"/>
          <w:szCs w:val="16"/>
          <w:color w:val="auto"/>
        </w:rPr>
        <w:t>Adjusted net income is reconciled to net income applicable to common</w:t>
      </w:r>
    </w:p>
    <w:p>
      <w:pPr>
        <w:spacing w:after="0" w:line="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shareholders in the Service Businesses, Allstate Life, Allstate Benefits and</w:t>
      </w:r>
    </w:p>
    <w:p>
      <w:pPr>
        <w:spacing w:after="0" w:line="5"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Allstate Annuities Segment sections of MD&amp;A.</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46 </w:t>
      </w:r>
      <w:r>
        <w:rPr>
          <w:sz w:val="1"/>
          <w:szCs w:val="1"/>
          <w:color w:val="auto"/>
        </w:rPr>
        <w:drawing>
          <wp:inline distT="0" distB="0" distL="0" distR="0">
            <wp:extent cx="111760" cy="1117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420"/>
          </w:cols>
          <w:pgMar w:left="240" w:top="355"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b w:val="1"/>
          <w:bCs w:val="1"/>
          <w:color w:val="1666AF"/>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5BA5"/>
        </w:rPr>
        <w:t>Consolidated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855595" cy="18008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855595"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40" w:right="140"/>
        <w:spacing w:after="0" w:line="308" w:lineRule="auto"/>
        <w:rPr>
          <w:sz w:val="20"/>
          <w:szCs w:val="20"/>
          <w:color w:val="auto"/>
        </w:rPr>
      </w:pPr>
      <w:r>
        <w:rPr>
          <w:rFonts w:ascii="Arial" w:cs="Arial" w:eastAsia="Arial" w:hAnsi="Arial"/>
          <w:sz w:val="15"/>
          <w:szCs w:val="15"/>
          <w:i w:val="1"/>
          <w:iCs w:val="1"/>
          <w:color w:val="1666AF"/>
        </w:rPr>
        <w:t xml:space="preserve">Consolidated net income applicable to common shareholders </w:t>
      </w:r>
      <w:r>
        <w:rPr>
          <w:rFonts w:ascii="Arial" w:cs="Arial" w:eastAsia="Arial" w:hAnsi="Arial"/>
          <w:sz w:val="15"/>
          <w:szCs w:val="15"/>
          <w:color w:val="000000"/>
        </w:rPr>
        <w:t>increased 29.1% in the first quarter of 2019 compared to the first quarter of 2018, primarily driven by net</w:t>
      </w:r>
      <w:r>
        <w:rPr>
          <w:rFonts w:ascii="Arial" w:cs="Arial" w:eastAsia="Arial" w:hAnsi="Arial"/>
          <w:sz w:val="15"/>
          <w:szCs w:val="15"/>
          <w:i w:val="1"/>
          <w:iCs w:val="1"/>
          <w:color w:val="1666AF"/>
        </w:rPr>
        <w:t xml:space="preserve"> </w:t>
      </w:r>
      <w:r>
        <w:rPr>
          <w:rFonts w:ascii="Arial" w:cs="Arial" w:eastAsia="Arial" w:hAnsi="Arial"/>
          <w:sz w:val="15"/>
          <w:szCs w:val="15"/>
          <w:color w:val="000000"/>
        </w:rPr>
        <w:t>realized capital gains in 2019 compared to net realized capital losses in 2018 and higher premiums earned, partially offset by higher losses, lower net investment income and higher distribution expenses from growth. The Property-Liability combined ratio was 91.8 in first quarter 2019 compared to 87.5 in first quarter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5BA5"/>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2855595" cy="1543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5559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right="140"/>
        <w:spacing w:after="0" w:line="339" w:lineRule="auto"/>
        <w:rPr>
          <w:sz w:val="20"/>
          <w:szCs w:val="20"/>
          <w:color w:val="auto"/>
        </w:rPr>
      </w:pPr>
      <w:r>
        <w:rPr>
          <w:rFonts w:ascii="Arial" w:cs="Arial" w:eastAsia="Arial" w:hAnsi="Arial"/>
          <w:sz w:val="14"/>
          <w:szCs w:val="14"/>
          <w:i w:val="1"/>
          <w:iCs w:val="1"/>
          <w:color w:val="1666AF"/>
        </w:rPr>
        <w:t xml:space="preserve">Total revenue </w:t>
      </w:r>
      <w:r>
        <w:rPr>
          <w:rFonts w:ascii="Arial" w:cs="Arial" w:eastAsia="Arial" w:hAnsi="Arial"/>
          <w:sz w:val="14"/>
          <w:szCs w:val="14"/>
          <w:color w:val="000000"/>
        </w:rPr>
        <w:t>increased 12.5% in the first quarter of 2019 compared to the first quarter of 2018, driven by net realized capital gains in 2019 compared to net realized capital</w:t>
      </w:r>
      <w:r>
        <w:rPr>
          <w:rFonts w:ascii="Arial" w:cs="Arial" w:eastAsia="Arial" w:hAnsi="Arial"/>
          <w:sz w:val="14"/>
          <w:szCs w:val="14"/>
          <w:i w:val="1"/>
          <w:iCs w:val="1"/>
          <w:color w:val="1666AF"/>
        </w:rPr>
        <w:t xml:space="preserve"> </w:t>
      </w:r>
      <w:r>
        <w:rPr>
          <w:rFonts w:ascii="Arial" w:cs="Arial" w:eastAsia="Arial" w:hAnsi="Arial"/>
          <w:sz w:val="14"/>
          <w:szCs w:val="14"/>
          <w:color w:val="000000"/>
        </w:rPr>
        <w:t>losses in 2018 and a 5.9% increase in insurance premiums and contract charges, partially offset by decreased net investment income. Insurance premiums increased in the following segments: Allstate Protection (Allstate and Esurance brands), Service Businesses (SquareTrade and Allstate Dealer Services), Allstate Life and Allstate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5BA5"/>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4"/>
          <w:szCs w:val="14"/>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855595" cy="1543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5559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right="100"/>
        <w:spacing w:after="0" w:line="299" w:lineRule="auto"/>
        <w:rPr>
          <w:sz w:val="20"/>
          <w:szCs w:val="20"/>
          <w:color w:val="auto"/>
        </w:rPr>
      </w:pPr>
      <w:r>
        <w:rPr>
          <w:rFonts w:ascii="Arial" w:cs="Arial" w:eastAsia="Arial" w:hAnsi="Arial"/>
          <w:sz w:val="16"/>
          <w:szCs w:val="16"/>
          <w:i w:val="1"/>
          <w:iCs w:val="1"/>
          <w:color w:val="1666AF"/>
        </w:rPr>
        <w:t xml:space="preserve">Net investment income </w:t>
      </w:r>
      <w:r>
        <w:rPr>
          <w:rFonts w:ascii="Arial" w:cs="Arial" w:eastAsia="Arial" w:hAnsi="Arial"/>
          <w:sz w:val="16"/>
          <w:szCs w:val="16"/>
          <w:color w:val="000000"/>
        </w:rPr>
        <w:t>decreased in the first quarter of 2019 compared to the first quarter of 2018, due to lower performance-based investment results, mainly from limited</w:t>
      </w:r>
      <w:r>
        <w:rPr>
          <w:rFonts w:ascii="Arial" w:cs="Arial" w:eastAsia="Arial" w:hAnsi="Arial"/>
          <w:sz w:val="16"/>
          <w:szCs w:val="16"/>
          <w:i w:val="1"/>
          <w:iCs w:val="1"/>
          <w:color w:val="1666AF"/>
        </w:rPr>
        <w:t xml:space="preserve"> </w:t>
      </w:r>
      <w:r>
        <w:rPr>
          <w:rFonts w:ascii="Arial" w:cs="Arial" w:eastAsia="Arial" w:hAnsi="Arial"/>
          <w:sz w:val="16"/>
          <w:szCs w:val="16"/>
          <w:color w:val="000000"/>
        </w:rPr>
        <w:t>partnerships, partially offset by higher market-based portfolio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47</w:t>
      </w:r>
    </w:p>
    <w:p>
      <w:pPr>
        <w:sectPr>
          <w:pgSz w:w="11900" w:h="16838" w:orient="portrait"/>
          <w:cols w:equalWidth="0" w:num="1">
            <w:col w:w="11420"/>
          </w:cols>
          <w:pgMar w:left="240" w:top="355" w:right="2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6"/>
          <w:szCs w:val="16"/>
          <w:b w:val="1"/>
          <w:bCs w:val="1"/>
          <w:color w:val="1666AF"/>
        </w:rPr>
        <w:t>Segment Highlights</w:t>
      </w:r>
    </w:p>
    <w:p>
      <w:pPr>
        <w:spacing w:after="0" w:line="11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6"/>
          <w:szCs w:val="16"/>
          <w:i w:val="1"/>
          <w:iCs w:val="1"/>
          <w:color w:val="1666AF"/>
        </w:rPr>
        <w:t xml:space="preserve">Allstate Protection </w:t>
      </w:r>
      <w:r>
        <w:rPr>
          <w:rFonts w:ascii="Arial" w:cs="Arial" w:eastAsia="Arial" w:hAnsi="Arial"/>
          <w:sz w:val="16"/>
          <w:szCs w:val="16"/>
          <w:color w:val="000000"/>
        </w:rPr>
        <w:t>underwriting income totaled $703 million in the first</w:t>
      </w:r>
      <w:r>
        <w:rPr>
          <w:rFonts w:ascii="Arial" w:cs="Arial" w:eastAsia="Arial" w:hAnsi="Arial"/>
          <w:sz w:val="16"/>
          <w:szCs w:val="16"/>
          <w:i w:val="1"/>
          <w:iCs w:val="1"/>
          <w:color w:val="1666AF"/>
        </w:rPr>
        <w:t xml:space="preserve"> </w:t>
      </w:r>
      <w:r>
        <w:rPr>
          <w:rFonts w:ascii="Arial" w:cs="Arial" w:eastAsia="Arial" w:hAnsi="Arial"/>
          <w:sz w:val="16"/>
          <w:szCs w:val="16"/>
          <w:color w:val="000000"/>
        </w:rPr>
        <w:t>quarter of 2019, a 30.3% decrease from $1.01 billion in the first quarter of 2018, primarily due to higher catastrophe losses, claim severity and operating costs and expenses, partially offset by increased premiums earned and improved auto claim frequency.</w:t>
      </w:r>
    </w:p>
    <w:p>
      <w:pPr>
        <w:spacing w:after="0" w:line="92" w:lineRule="exact"/>
        <w:rPr>
          <w:sz w:val="20"/>
          <w:szCs w:val="20"/>
          <w:color w:val="auto"/>
        </w:rPr>
      </w:pPr>
    </w:p>
    <w:p>
      <w:pPr>
        <w:ind w:right="140" w:firstLine="324"/>
        <w:spacing w:after="0" w:line="260" w:lineRule="auto"/>
        <w:rPr>
          <w:sz w:val="20"/>
          <w:szCs w:val="20"/>
          <w:color w:val="auto"/>
        </w:rPr>
      </w:pPr>
      <w:r>
        <w:rPr>
          <w:rFonts w:ascii="Arial" w:cs="Arial" w:eastAsia="Arial" w:hAnsi="Arial"/>
          <w:sz w:val="16"/>
          <w:szCs w:val="16"/>
          <w:color w:val="auto"/>
        </w:rPr>
        <w:t>Premiums written increased 6.2% to $8.33 billion in the first quarter of 2019, compared to the same period of 2018.</w:t>
      </w:r>
    </w:p>
    <w:p>
      <w:pPr>
        <w:spacing w:after="0" w:line="72"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i w:val="1"/>
          <w:iCs w:val="1"/>
          <w:color w:val="1666AF"/>
        </w:rPr>
        <w:t xml:space="preserve">Service Businesses </w:t>
      </w:r>
      <w:r>
        <w:rPr>
          <w:rFonts w:ascii="Arial" w:cs="Arial" w:eastAsia="Arial" w:hAnsi="Arial"/>
          <w:sz w:val="16"/>
          <w:szCs w:val="16"/>
          <w:color w:val="000000"/>
        </w:rPr>
        <w:t>adjusted net income was $11 million in the first</w:t>
      </w:r>
      <w:r>
        <w:rPr>
          <w:rFonts w:ascii="Arial" w:cs="Arial" w:eastAsia="Arial" w:hAnsi="Arial"/>
          <w:sz w:val="16"/>
          <w:szCs w:val="16"/>
          <w:i w:val="1"/>
          <w:iCs w:val="1"/>
          <w:color w:val="1666AF"/>
        </w:rPr>
        <w:t xml:space="preserve"> </w:t>
      </w:r>
      <w:r>
        <w:rPr>
          <w:rFonts w:ascii="Arial" w:cs="Arial" w:eastAsia="Arial" w:hAnsi="Arial"/>
          <w:sz w:val="16"/>
          <w:szCs w:val="16"/>
          <w:color w:val="000000"/>
        </w:rPr>
        <w:t>quarter of 2019 compared to an adjusted net loss of $3 million in the first quarter of 2018. The improvement was primarily due to higher premiums and improved loss experience at SquareTrade and Allstate Dealer Services, partially offset by higher rescue costs at Allstate Roadside Services.</w:t>
      </w:r>
    </w:p>
    <w:p>
      <w:pPr>
        <w:spacing w:after="0" w:line="92" w:lineRule="exact"/>
        <w:rPr>
          <w:sz w:val="20"/>
          <w:szCs w:val="20"/>
          <w:color w:val="auto"/>
        </w:rPr>
      </w:pPr>
    </w:p>
    <w:p>
      <w:pPr>
        <w:ind w:right="80" w:firstLine="324"/>
        <w:spacing w:after="0" w:line="251" w:lineRule="auto"/>
        <w:rPr>
          <w:sz w:val="20"/>
          <w:szCs w:val="20"/>
          <w:color w:val="auto"/>
        </w:rPr>
      </w:pPr>
      <w:r>
        <w:rPr>
          <w:rFonts w:ascii="Arial" w:cs="Arial" w:eastAsia="Arial" w:hAnsi="Arial"/>
          <w:sz w:val="16"/>
          <w:szCs w:val="16"/>
          <w:color w:val="auto"/>
        </w:rPr>
        <w:t>Total revenues increased 25.2% to $392 million in the first quarter of 2019, compared to the first quarter of 2018, primarily due to SquareTrade’s growth through its U.S. retail and international distribution partners and the acquisitions of InfoArmor, PlumChoice and iCracked.</w:t>
      </w:r>
    </w:p>
    <w:p>
      <w:pPr>
        <w:spacing w:after="0" w:line="95" w:lineRule="exact"/>
        <w:rPr>
          <w:sz w:val="20"/>
          <w:szCs w:val="20"/>
          <w:color w:val="auto"/>
        </w:rPr>
      </w:pPr>
    </w:p>
    <w:p>
      <w:pPr>
        <w:ind w:right="60" w:firstLine="324"/>
        <w:spacing w:after="0" w:line="260" w:lineRule="auto"/>
        <w:rPr>
          <w:sz w:val="20"/>
          <w:szCs w:val="20"/>
          <w:color w:val="auto"/>
        </w:rPr>
      </w:pPr>
      <w:r>
        <w:rPr>
          <w:rFonts w:ascii="Arial" w:cs="Arial" w:eastAsia="Arial" w:hAnsi="Arial"/>
          <w:sz w:val="16"/>
          <w:szCs w:val="16"/>
          <w:color w:val="auto"/>
        </w:rPr>
        <w:t>Net investment income increased $4 million in the first quarter of 2019, compared to the first quarter of 2018.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48 </w:t>
      </w:r>
      <w:r>
        <w:rPr>
          <w:sz w:val="1"/>
          <w:szCs w:val="1"/>
          <w:color w:val="auto"/>
        </w:rPr>
        <w:drawing>
          <wp:inline distT="0" distB="0" distL="0" distR="0">
            <wp:extent cx="111760" cy="1117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60" w:firstLine="324"/>
        <w:spacing w:after="0" w:line="258" w:lineRule="auto"/>
        <w:rPr>
          <w:sz w:val="20"/>
          <w:szCs w:val="20"/>
          <w:color w:val="auto"/>
        </w:rPr>
      </w:pPr>
      <w:r>
        <w:rPr>
          <w:rFonts w:ascii="Arial" w:cs="Arial" w:eastAsia="Arial" w:hAnsi="Arial"/>
          <w:sz w:val="16"/>
          <w:szCs w:val="16"/>
          <w:i w:val="1"/>
          <w:iCs w:val="1"/>
          <w:color w:val="1666AF"/>
        </w:rPr>
        <w:t xml:space="preserve">Allstate Life </w:t>
      </w:r>
      <w:r>
        <w:rPr>
          <w:rFonts w:ascii="Arial" w:cs="Arial" w:eastAsia="Arial" w:hAnsi="Arial"/>
          <w:sz w:val="16"/>
          <w:szCs w:val="16"/>
          <w:color w:val="000000"/>
        </w:rPr>
        <w:t>adjusted net income was $73 million in the first quarter of</w:t>
      </w:r>
      <w:r>
        <w:rPr>
          <w:rFonts w:ascii="Arial" w:cs="Arial" w:eastAsia="Arial" w:hAnsi="Arial"/>
          <w:sz w:val="16"/>
          <w:szCs w:val="16"/>
          <w:i w:val="1"/>
          <w:iCs w:val="1"/>
          <w:color w:val="1666AF"/>
        </w:rPr>
        <w:t xml:space="preserve"> </w:t>
      </w:r>
      <w:r>
        <w:rPr>
          <w:rFonts w:ascii="Arial" w:cs="Arial" w:eastAsia="Arial" w:hAnsi="Arial"/>
          <w:sz w:val="16"/>
          <w:szCs w:val="16"/>
          <w:color w:val="000000"/>
        </w:rPr>
        <w:t>2019 compared to $71 million in the first quarter of 2018, primarily due to higher premiums and contract charges and net investment income, partially offset by higher contract benefits and operating costs and expenses.</w:t>
      </w:r>
    </w:p>
    <w:p>
      <w:pPr>
        <w:spacing w:after="0" w:line="89" w:lineRule="exact"/>
        <w:rPr>
          <w:sz w:val="20"/>
          <w:szCs w:val="20"/>
          <w:color w:val="auto"/>
        </w:rPr>
      </w:pPr>
    </w:p>
    <w:p>
      <w:pPr>
        <w:ind w:right="160" w:firstLine="324"/>
        <w:spacing w:after="0" w:line="260" w:lineRule="auto"/>
        <w:rPr>
          <w:sz w:val="20"/>
          <w:szCs w:val="20"/>
          <w:color w:val="auto"/>
        </w:rPr>
      </w:pPr>
      <w:r>
        <w:rPr>
          <w:rFonts w:ascii="Arial" w:cs="Arial" w:eastAsia="Arial" w:hAnsi="Arial"/>
          <w:sz w:val="16"/>
          <w:szCs w:val="16"/>
          <w:color w:val="auto"/>
        </w:rPr>
        <w:t>Premiums and contract charges increased 3.1% to $337 million in the first quarter of 2019, compared to the first quarter of 2018.</w:t>
      </w:r>
    </w:p>
    <w:p>
      <w:pPr>
        <w:spacing w:after="0" w:line="7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6"/>
          <w:szCs w:val="16"/>
          <w:i w:val="1"/>
          <w:iCs w:val="1"/>
          <w:color w:val="1666AF"/>
        </w:rPr>
        <w:t xml:space="preserve">Allstate Benefits </w:t>
      </w:r>
      <w:r>
        <w:rPr>
          <w:rFonts w:ascii="Arial" w:cs="Arial" w:eastAsia="Arial" w:hAnsi="Arial"/>
          <w:sz w:val="16"/>
          <w:szCs w:val="16"/>
          <w:color w:val="000000"/>
        </w:rPr>
        <w:t>adjusted net income was $31 million in the first quarter</w:t>
      </w:r>
      <w:r>
        <w:rPr>
          <w:rFonts w:ascii="Arial" w:cs="Arial" w:eastAsia="Arial" w:hAnsi="Arial"/>
          <w:sz w:val="16"/>
          <w:szCs w:val="16"/>
          <w:i w:val="1"/>
          <w:iCs w:val="1"/>
          <w:color w:val="1666AF"/>
        </w:rPr>
        <w:t xml:space="preserve"> </w:t>
      </w:r>
      <w:r>
        <w:rPr>
          <w:rFonts w:ascii="Arial" w:cs="Arial" w:eastAsia="Arial" w:hAnsi="Arial"/>
          <w:sz w:val="16"/>
          <w:szCs w:val="16"/>
          <w:color w:val="000000"/>
        </w:rPr>
        <w:t>of 2019 compared to $29 million in the first quarter of 2018, primarily due to lower contract benefits, partially offset by higher amortization of DAC.</w:t>
      </w:r>
    </w:p>
    <w:p>
      <w:pPr>
        <w:spacing w:after="0" w:line="84" w:lineRule="exact"/>
        <w:rPr>
          <w:sz w:val="20"/>
          <w:szCs w:val="20"/>
          <w:color w:val="auto"/>
        </w:rPr>
      </w:pPr>
    </w:p>
    <w:p>
      <w:pPr>
        <w:ind w:right="160" w:firstLine="324"/>
        <w:spacing w:after="0" w:line="260" w:lineRule="auto"/>
        <w:rPr>
          <w:sz w:val="20"/>
          <w:szCs w:val="20"/>
          <w:color w:val="auto"/>
        </w:rPr>
      </w:pPr>
      <w:r>
        <w:rPr>
          <w:rFonts w:ascii="Arial" w:cs="Arial" w:eastAsia="Arial" w:hAnsi="Arial"/>
          <w:sz w:val="16"/>
          <w:szCs w:val="16"/>
          <w:color w:val="auto"/>
        </w:rPr>
        <w:t>Premiums and contract charges increased 0.7% to $288 million in the first quarter of 2019, compared to the same period of 2018.</w:t>
      </w:r>
    </w:p>
    <w:p>
      <w:pPr>
        <w:spacing w:after="0" w:line="72"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i w:val="1"/>
          <w:iCs w:val="1"/>
          <w:color w:val="1666AF"/>
        </w:rPr>
        <w:t xml:space="preserve">Allstate Annuities </w:t>
      </w:r>
      <w:r>
        <w:rPr>
          <w:rFonts w:ascii="Arial" w:cs="Arial" w:eastAsia="Arial" w:hAnsi="Arial"/>
          <w:sz w:val="16"/>
          <w:szCs w:val="16"/>
          <w:color w:val="000000"/>
        </w:rPr>
        <w:t>adjusted net loss was $25 million in the first quarter of</w:t>
      </w:r>
      <w:r>
        <w:rPr>
          <w:rFonts w:ascii="Arial" w:cs="Arial" w:eastAsia="Arial" w:hAnsi="Arial"/>
          <w:sz w:val="16"/>
          <w:szCs w:val="16"/>
          <w:i w:val="1"/>
          <w:iCs w:val="1"/>
          <w:color w:val="1666AF"/>
        </w:rPr>
        <w:t xml:space="preserve"> </w:t>
      </w:r>
      <w:r>
        <w:rPr>
          <w:rFonts w:ascii="Arial" w:cs="Arial" w:eastAsia="Arial" w:hAnsi="Arial"/>
          <w:sz w:val="16"/>
          <w:szCs w:val="16"/>
          <w:color w:val="000000"/>
        </w:rPr>
        <w:t>2019 compared to adjusted net income of $35 million in the first quarter of 2018, primarily due to decreased net investment income, partially offset by lower contract benefits.</w:t>
      </w:r>
    </w:p>
    <w:p>
      <w:pPr>
        <w:spacing w:after="0" w:line="89" w:lineRule="exact"/>
        <w:rPr>
          <w:sz w:val="20"/>
          <w:szCs w:val="20"/>
          <w:color w:val="auto"/>
        </w:rPr>
      </w:pPr>
    </w:p>
    <w:p>
      <w:pPr>
        <w:ind w:right="340" w:firstLine="324"/>
        <w:spacing w:after="0" w:line="253" w:lineRule="auto"/>
        <w:rPr>
          <w:sz w:val="20"/>
          <w:szCs w:val="20"/>
          <w:color w:val="auto"/>
        </w:rPr>
      </w:pPr>
      <w:r>
        <w:rPr>
          <w:rFonts w:ascii="Arial" w:cs="Arial" w:eastAsia="Arial" w:hAnsi="Arial"/>
          <w:sz w:val="16"/>
          <w:szCs w:val="16"/>
          <w:color w:val="auto"/>
        </w:rPr>
        <w:t>Net investment income decreased 34.5% to $190 million in the first quarter of 2019, compared to the first quarter of 2018, due to lower performance-based investment results.</w:t>
      </w:r>
    </w:p>
    <w:p>
      <w:pPr>
        <w:sectPr>
          <w:pgSz w:w="11900" w:h="16838" w:orient="portrait"/>
          <w:cols w:equalWidth="0" w:num="2">
            <w:col w:w="5460" w:space="480"/>
            <w:col w:w="5460"/>
          </w:cols>
          <w:pgMar w:left="240" w:top="364" w:right="2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color w:val="1666AF"/>
        </w:rPr>
        <w:t>Financial Highlights</w:t>
      </w:r>
    </w:p>
    <w:p>
      <w:pPr>
        <w:spacing w:after="0" w:line="117" w:lineRule="exact"/>
        <w:rPr>
          <w:sz w:val="20"/>
          <w:szCs w:val="20"/>
          <w:color w:val="auto"/>
        </w:rPr>
      </w:pPr>
    </w:p>
    <w:p>
      <w:pPr>
        <w:ind w:right="460" w:firstLine="324"/>
        <w:spacing w:after="0" w:line="258" w:lineRule="auto"/>
        <w:rPr>
          <w:sz w:val="20"/>
          <w:szCs w:val="20"/>
          <w:color w:val="auto"/>
        </w:rPr>
      </w:pPr>
      <w:r>
        <w:rPr>
          <w:rFonts w:ascii="Arial" w:cs="Arial" w:eastAsia="Arial" w:hAnsi="Arial"/>
          <w:sz w:val="16"/>
          <w:szCs w:val="16"/>
          <w:i w:val="1"/>
          <w:iCs w:val="1"/>
          <w:color w:val="1666AF"/>
        </w:rPr>
        <w:t xml:space="preserve">iCracked </w:t>
      </w:r>
      <w:r>
        <w:rPr>
          <w:rFonts w:ascii="Arial" w:cs="Arial" w:eastAsia="Arial" w:hAnsi="Arial"/>
          <w:sz w:val="16"/>
          <w:szCs w:val="16"/>
          <w:color w:val="000000"/>
        </w:rPr>
        <w:t>On February 12, 2019, we acquired iCracked Inc.</w:t>
      </w:r>
      <w:r>
        <w:rPr>
          <w:rFonts w:ascii="Arial" w:cs="Arial" w:eastAsia="Arial" w:hAnsi="Arial"/>
          <w:sz w:val="16"/>
          <w:szCs w:val="16"/>
          <w:i w:val="1"/>
          <w:iCs w:val="1"/>
          <w:color w:val="1666AF"/>
        </w:rPr>
        <w:t xml:space="preserve"> </w:t>
      </w:r>
      <w:r>
        <w:rPr>
          <w:rFonts w:ascii="Arial" w:cs="Arial" w:eastAsia="Arial" w:hAnsi="Arial"/>
          <w:sz w:val="16"/>
          <w:szCs w:val="16"/>
          <w:color w:val="000000"/>
        </w:rPr>
        <w:t>(“iCracked”), which offers on-site, on-demand repair services for smartphones and tablets in North America, supporting SquareTrade’s operations.</w:t>
      </w:r>
    </w:p>
    <w:p>
      <w:pPr>
        <w:spacing w:after="0" w:line="73" w:lineRule="exact"/>
        <w:rPr>
          <w:sz w:val="20"/>
          <w:szCs w:val="20"/>
          <w:color w:val="auto"/>
        </w:rPr>
      </w:pPr>
    </w:p>
    <w:p>
      <w:pPr>
        <w:ind w:right="300" w:firstLine="324"/>
        <w:spacing w:after="0" w:line="281" w:lineRule="auto"/>
        <w:rPr>
          <w:sz w:val="20"/>
          <w:szCs w:val="20"/>
          <w:color w:val="auto"/>
        </w:rPr>
      </w:pPr>
      <w:r>
        <w:rPr>
          <w:rFonts w:ascii="Arial" w:cs="Arial" w:eastAsia="Arial" w:hAnsi="Arial"/>
          <w:sz w:val="16"/>
          <w:szCs w:val="16"/>
          <w:i w:val="1"/>
          <w:iCs w:val="1"/>
          <w:color w:val="1666AF"/>
        </w:rPr>
        <w:t xml:space="preserve">Investments </w:t>
      </w:r>
      <w:r>
        <w:rPr>
          <w:rFonts w:ascii="Arial" w:cs="Arial" w:eastAsia="Arial" w:hAnsi="Arial"/>
          <w:sz w:val="16"/>
          <w:szCs w:val="16"/>
          <w:color w:val="000000"/>
        </w:rPr>
        <w:t>totaled $84.12 billion as of March 31, 2019, increasing</w:t>
      </w:r>
      <w:r>
        <w:rPr>
          <w:rFonts w:ascii="Arial" w:cs="Arial" w:eastAsia="Arial" w:hAnsi="Arial"/>
          <w:sz w:val="16"/>
          <w:szCs w:val="16"/>
          <w:i w:val="1"/>
          <w:iCs w:val="1"/>
          <w:color w:val="1666AF"/>
        </w:rPr>
        <w:t xml:space="preserve"> </w:t>
      </w:r>
      <w:r>
        <w:rPr>
          <w:rFonts w:ascii="Arial" w:cs="Arial" w:eastAsia="Arial" w:hAnsi="Arial"/>
          <w:sz w:val="16"/>
          <w:szCs w:val="16"/>
          <w:color w:val="000000"/>
        </w:rPr>
        <w:t>from $81.26 billion as of December 31, 2018.</w:t>
      </w:r>
    </w:p>
    <w:p>
      <w:pPr>
        <w:spacing w:after="0" w:line="55" w:lineRule="exact"/>
        <w:rPr>
          <w:sz w:val="20"/>
          <w:szCs w:val="20"/>
          <w:color w:val="auto"/>
        </w:rPr>
      </w:pPr>
    </w:p>
    <w:p>
      <w:pPr>
        <w:ind w:right="180" w:firstLine="324"/>
        <w:spacing w:after="0" w:line="258" w:lineRule="auto"/>
        <w:rPr>
          <w:sz w:val="20"/>
          <w:szCs w:val="20"/>
          <w:color w:val="auto"/>
        </w:rPr>
      </w:pPr>
      <w:r>
        <w:rPr>
          <w:rFonts w:ascii="Arial" w:cs="Arial" w:eastAsia="Arial" w:hAnsi="Arial"/>
          <w:sz w:val="16"/>
          <w:szCs w:val="16"/>
          <w:i w:val="1"/>
          <w:iCs w:val="1"/>
          <w:color w:val="1666AF"/>
        </w:rPr>
        <w:t xml:space="preserve">Shareholders’ equity </w:t>
      </w:r>
      <w:r>
        <w:rPr>
          <w:rFonts w:ascii="Arial" w:cs="Arial" w:eastAsia="Arial" w:hAnsi="Arial"/>
          <w:sz w:val="16"/>
          <w:szCs w:val="16"/>
          <w:color w:val="000000"/>
        </w:rPr>
        <w:t>As of March 31, 2019, shareholders’ equity was</w:t>
      </w:r>
      <w:r>
        <w:rPr>
          <w:rFonts w:ascii="Arial" w:cs="Arial" w:eastAsia="Arial" w:hAnsi="Arial"/>
          <w:sz w:val="16"/>
          <w:szCs w:val="16"/>
          <w:i w:val="1"/>
          <w:iCs w:val="1"/>
          <w:color w:val="1666AF"/>
        </w:rPr>
        <w:t xml:space="preserve"> </w:t>
      </w:r>
      <w:r>
        <w:rPr>
          <w:rFonts w:ascii="Arial" w:cs="Arial" w:eastAsia="Arial" w:hAnsi="Arial"/>
          <w:sz w:val="16"/>
          <w:szCs w:val="16"/>
          <w:color w:val="000000"/>
        </w:rPr>
        <w:t>$23.42 billion. This total included $2.34 billion in deployable assets at the parent holding company level comprising cash and investments that are generally saleable within one quarter.</w:t>
      </w:r>
    </w:p>
    <w:p>
      <w:pPr>
        <w:spacing w:after="0" w:line="73"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i w:val="1"/>
          <w:iCs w:val="1"/>
          <w:color w:val="1666AF"/>
        </w:rPr>
        <w:t xml:space="preserve">Book value per diluted common share </w:t>
      </w:r>
      <w:r>
        <w:rPr>
          <w:rFonts w:ascii="Arial" w:cs="Arial" w:eastAsia="Arial" w:hAnsi="Arial"/>
          <w:sz w:val="16"/>
          <w:szCs w:val="16"/>
          <w:color w:val="000000"/>
        </w:rPr>
        <w:t>(ratio of common shareholders’</w:t>
      </w:r>
      <w:r>
        <w:rPr>
          <w:rFonts w:ascii="Arial" w:cs="Arial" w:eastAsia="Arial" w:hAnsi="Arial"/>
          <w:sz w:val="16"/>
          <w:szCs w:val="16"/>
          <w:i w:val="1"/>
          <w:iCs w:val="1"/>
          <w:color w:val="1666AF"/>
        </w:rPr>
        <w:t xml:space="preserve"> </w:t>
      </w:r>
      <w:r>
        <w:rPr>
          <w:rFonts w:ascii="Arial" w:cs="Arial" w:eastAsia="Arial" w:hAnsi="Arial"/>
          <w:sz w:val="16"/>
          <w:szCs w:val="16"/>
          <w:color w:val="000000"/>
        </w:rPr>
        <w:t>equity to total common shares outstanding and dilutive potential common shares outstanding) was $63.59, an increase of 8.5% from $58.62 as of March 31, 2018, and an increase of 10.5% from $57.56 as of December 31, 2018.</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ind w:right="20" w:firstLine="324"/>
        <w:spacing w:after="0" w:line="251" w:lineRule="auto"/>
        <w:rPr>
          <w:sz w:val="20"/>
          <w:szCs w:val="20"/>
          <w:color w:val="auto"/>
        </w:rPr>
      </w:pPr>
      <w:r>
        <w:rPr>
          <w:rFonts w:ascii="Arial" w:cs="Arial" w:eastAsia="Arial" w:hAnsi="Arial"/>
          <w:sz w:val="16"/>
          <w:szCs w:val="16"/>
          <w:i w:val="1"/>
          <w:iCs w:val="1"/>
          <w:color w:val="1666AF"/>
        </w:rPr>
        <w:t xml:space="preserve">Return on average common shareholders’ equity </w:t>
      </w:r>
      <w:r>
        <w:rPr>
          <w:rFonts w:ascii="Arial" w:cs="Arial" w:eastAsia="Arial" w:hAnsi="Arial"/>
          <w:sz w:val="16"/>
          <w:szCs w:val="16"/>
          <w:color w:val="000000"/>
        </w:rPr>
        <w:t>For the twelve months</w:t>
      </w:r>
      <w:r>
        <w:rPr>
          <w:rFonts w:ascii="Arial" w:cs="Arial" w:eastAsia="Arial" w:hAnsi="Arial"/>
          <w:sz w:val="16"/>
          <w:szCs w:val="16"/>
          <w:i w:val="1"/>
          <w:iCs w:val="1"/>
          <w:color w:val="1666AF"/>
        </w:rPr>
        <w:t xml:space="preserve"> </w:t>
      </w:r>
      <w:r>
        <w:rPr>
          <w:rFonts w:ascii="Arial" w:cs="Arial" w:eastAsia="Arial" w:hAnsi="Arial"/>
          <w:sz w:val="16"/>
          <w:szCs w:val="16"/>
          <w:color w:val="000000"/>
        </w:rPr>
        <w:t>ended March 31, 2019, net income applicable to common shareholders’ return on the average of beginning and ending period common shareholders’ equity of 10.8% decreased by 7.1 points from 17.9% for the twelve months ended March 31, 2018, primarily due to lower net income applicable to common shareholders for the trailing twelve-month period ended March 31, 2019 and an increase in average common shareholders’ equity.</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Change in accounting principle</w:t>
      </w:r>
    </w:p>
    <w:p>
      <w:pPr>
        <w:spacing w:after="0" w:line="133"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We changed our accounting principle for recognizing actuarial gains and losses and expected return on plan assets for our pension and other postretirement plans to a more preferable policy under U.S. GAAP. Under the new principle, remeasurement of projected benefit obligation and plan assets are immediately recognized through earnings and are referred to as pension and other postretirement remeasurement gains and losses on the Condensed Consolidated Statements of Operations. This change has been applied on a retrospective basis. The following table provides a summary of the impacts of this change. See Note 1 of the condensed consolidated financial statements for further information regarding the impact of the change in accounting principle on our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151130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500"/>
            <w:col w:w="5480"/>
          </w:cols>
          <w:pgMar w:left="240" w:top="365" w:right="239" w:bottom="1440" w:gutter="0" w:footer="0" w:header="0"/>
        </w:sectPr>
      </w:pPr>
    </w:p>
    <w:p>
      <w:pPr>
        <w:spacing w:after="0" w:line="8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 of pension and postretirement accounting change on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72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 except per share data and ratios)</w:t>
            </w:r>
          </w:p>
        </w:tc>
        <w:tc>
          <w:tcPr>
            <w:tcW w:w="2700" w:type="dxa"/>
            <w:vAlign w:val="bottom"/>
            <w:gridSpan w:val="5"/>
          </w:tcPr>
          <w:p>
            <w:pPr>
              <w:jc w:val="right"/>
              <w:spacing w:after="0"/>
              <w:rPr>
                <w:sz w:val="20"/>
                <w:szCs w:val="20"/>
                <w:color w:val="auto"/>
              </w:rPr>
            </w:pPr>
            <w:r>
              <w:rPr>
                <w:rFonts w:ascii="Arial" w:cs="Arial" w:eastAsia="Arial" w:hAnsi="Arial"/>
                <w:sz w:val="16"/>
                <w:szCs w:val="16"/>
                <w:b w:val="1"/>
                <w:bCs w:val="1"/>
                <w:color w:val="auto"/>
                <w:w w:val="94"/>
              </w:rPr>
              <w:t>Three months ended March 31, 2018</w:t>
            </w:r>
          </w:p>
        </w:tc>
      </w:tr>
      <w:tr>
        <w:trPr>
          <w:trHeight w:val="215"/>
        </w:trPr>
        <w:tc>
          <w:tcPr>
            <w:tcW w:w="8620" w:type="dxa"/>
            <w:vAlign w:val="bottom"/>
            <w:tcBorders>
              <w:top w:val="single" w:sz="8" w:color="005BA5"/>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1666AF"/>
            </w:tcBorders>
          </w:tcPr>
          <w:p>
            <w:pPr>
              <w:spacing w:after="0"/>
              <w:rPr>
                <w:sz w:val="18"/>
                <w:szCs w:val="18"/>
                <w:color w:val="auto"/>
              </w:rPr>
            </w:pPr>
          </w:p>
        </w:tc>
        <w:tc>
          <w:tcPr>
            <w:tcW w:w="1120" w:type="dxa"/>
            <w:vAlign w:val="bottom"/>
            <w:tcBorders>
              <w:top w:val="single" w:sz="8" w:color="1666AF"/>
            </w:tcBorders>
          </w:tcPr>
          <w:p>
            <w:pPr>
              <w:spacing w:after="0"/>
              <w:rPr>
                <w:sz w:val="18"/>
                <w:szCs w:val="18"/>
                <w:color w:val="auto"/>
              </w:rPr>
            </w:pPr>
          </w:p>
        </w:tc>
        <w:tc>
          <w:tcPr>
            <w:tcW w:w="100" w:type="dxa"/>
            <w:vAlign w:val="bottom"/>
            <w:tcBorders>
              <w:top w:val="single" w:sz="8" w:color="1666AF"/>
            </w:tcBorders>
          </w:tcPr>
          <w:p>
            <w:pPr>
              <w:spacing w:after="0"/>
              <w:rPr>
                <w:sz w:val="18"/>
                <w:szCs w:val="18"/>
                <w:color w:val="auto"/>
              </w:rPr>
            </w:pPr>
          </w:p>
        </w:tc>
        <w:tc>
          <w:tcPr>
            <w:tcW w:w="200" w:type="dxa"/>
            <w:vAlign w:val="bottom"/>
            <w:tcBorders>
              <w:top w:val="single" w:sz="8" w:color="1666AF"/>
            </w:tcBorders>
          </w:tcPr>
          <w:p>
            <w:pPr>
              <w:spacing w:after="0"/>
              <w:rPr>
                <w:sz w:val="18"/>
                <w:szCs w:val="18"/>
                <w:color w:val="auto"/>
              </w:rPr>
            </w:pPr>
          </w:p>
        </w:tc>
        <w:tc>
          <w:tcPr>
            <w:tcW w:w="1100" w:type="dxa"/>
            <w:vAlign w:val="bottom"/>
            <w:tcBorders>
              <w:top w:val="single" w:sz="8" w:color="1666AF"/>
            </w:tcBorders>
          </w:tcPr>
          <w:p>
            <w:pPr>
              <w:jc w:val="right"/>
              <w:ind w:right="199"/>
              <w:spacing w:after="0"/>
              <w:rPr>
                <w:sz w:val="20"/>
                <w:szCs w:val="20"/>
                <w:color w:val="auto"/>
              </w:rPr>
            </w:pPr>
            <w:r>
              <w:rPr>
                <w:rFonts w:ascii="Arial" w:cs="Arial" w:eastAsia="Arial" w:hAnsi="Arial"/>
                <w:sz w:val="16"/>
                <w:szCs w:val="16"/>
                <w:b w:val="1"/>
                <w:bCs w:val="1"/>
                <w:color w:val="auto"/>
                <w:w w:val="98"/>
              </w:rPr>
              <w:t>Previously</w:t>
            </w:r>
          </w:p>
        </w:tc>
      </w:tr>
      <w:tr>
        <w:trPr>
          <w:trHeight w:val="210"/>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As adjusted</w:t>
            </w:r>
          </w:p>
        </w:tc>
        <w:tc>
          <w:tcPr>
            <w:tcW w:w="200" w:type="dxa"/>
            <w:vAlign w:val="bottom"/>
          </w:tcPr>
          <w:p>
            <w:pPr>
              <w:spacing w:after="0"/>
              <w:rPr>
                <w:sz w:val="18"/>
                <w:szCs w:val="18"/>
                <w:color w:val="auto"/>
              </w:rPr>
            </w:pPr>
          </w:p>
        </w:tc>
        <w:tc>
          <w:tcPr>
            <w:tcW w:w="1100" w:type="dxa"/>
            <w:vAlign w:val="bottom"/>
          </w:tcPr>
          <w:p>
            <w:pPr>
              <w:jc w:val="right"/>
              <w:ind w:right="259"/>
              <w:spacing w:after="0"/>
              <w:rPr>
                <w:sz w:val="20"/>
                <w:szCs w:val="20"/>
                <w:color w:val="auto"/>
              </w:rPr>
            </w:pPr>
            <w:r>
              <w:rPr>
                <w:rFonts w:ascii="Arial" w:cs="Arial" w:eastAsia="Arial" w:hAnsi="Arial"/>
                <w:sz w:val="16"/>
                <w:szCs w:val="16"/>
                <w:b w:val="1"/>
                <w:bCs w:val="1"/>
                <w:color w:val="auto"/>
              </w:rPr>
              <w:t>reported</w:t>
            </w:r>
          </w:p>
        </w:tc>
      </w:tr>
      <w:tr>
        <w:trPr>
          <w:trHeight w:val="33"/>
        </w:trPr>
        <w:tc>
          <w:tcPr>
            <w:tcW w:w="86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87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1,006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975</w:t>
            </w:r>
          </w:p>
        </w:tc>
      </w:tr>
      <w:tr>
        <w:trPr>
          <w:trHeight w:val="33"/>
        </w:trPr>
        <w:tc>
          <w:tcPr>
            <w:tcW w:w="86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8720" w:type="dxa"/>
            <w:vAlign w:val="bottom"/>
            <w:gridSpan w:val="2"/>
          </w:tcPr>
          <w:p>
            <w:pPr>
              <w:ind w:left="40"/>
              <w:spacing w:after="0"/>
              <w:rPr>
                <w:sz w:val="20"/>
                <w:szCs w:val="20"/>
                <w:color w:val="auto"/>
              </w:rPr>
            </w:pPr>
            <w:r>
              <w:rPr>
                <w:rFonts w:ascii="Arial" w:cs="Arial" w:eastAsia="Arial" w:hAnsi="Arial"/>
                <w:sz w:val="16"/>
                <w:szCs w:val="16"/>
                <w:color w:val="auto"/>
              </w:rPr>
              <w:t>Net income applicable to common shareholders</w:t>
            </w:r>
          </w:p>
        </w:tc>
        <w:tc>
          <w:tcPr>
            <w:tcW w:w="1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977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946</w:t>
            </w:r>
          </w:p>
        </w:tc>
      </w:tr>
      <w:tr>
        <w:trPr>
          <w:trHeight w:val="33"/>
        </w:trPr>
        <w:tc>
          <w:tcPr>
            <w:tcW w:w="86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8720" w:type="dxa"/>
            <w:vAlign w:val="bottom"/>
            <w:gridSpan w:val="2"/>
          </w:tcPr>
          <w:p>
            <w:pPr>
              <w:ind w:left="40"/>
              <w:spacing w:after="0"/>
              <w:rPr>
                <w:sz w:val="20"/>
                <w:szCs w:val="20"/>
                <w:color w:val="auto"/>
              </w:rPr>
            </w:pPr>
            <w:r>
              <w:rPr>
                <w:rFonts w:ascii="Arial" w:cs="Arial" w:eastAsia="Arial" w:hAnsi="Arial"/>
                <w:sz w:val="16"/>
                <w:szCs w:val="16"/>
                <w:color w:val="auto"/>
              </w:rPr>
              <w:t>Net income applicable to common shareholders per common share - Basic</w:t>
            </w:r>
          </w:p>
        </w:tc>
        <w:tc>
          <w:tcPr>
            <w:tcW w:w="1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2.67</w:t>
            </w:r>
          </w:p>
        </w:tc>
      </w:tr>
      <w:tr>
        <w:trPr>
          <w:trHeight w:val="33"/>
        </w:trPr>
        <w:tc>
          <w:tcPr>
            <w:tcW w:w="86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8720" w:type="dxa"/>
            <w:vAlign w:val="bottom"/>
            <w:gridSpan w:val="2"/>
          </w:tcPr>
          <w:p>
            <w:pPr>
              <w:ind w:left="40"/>
              <w:spacing w:after="0"/>
              <w:rPr>
                <w:sz w:val="20"/>
                <w:szCs w:val="20"/>
                <w:color w:val="auto"/>
              </w:rPr>
            </w:pPr>
            <w:r>
              <w:rPr>
                <w:rFonts w:ascii="Arial" w:cs="Arial" w:eastAsia="Arial" w:hAnsi="Arial"/>
                <w:sz w:val="16"/>
                <w:szCs w:val="16"/>
                <w:color w:val="auto"/>
              </w:rPr>
              <w:t>Net income applicable to common shareholders per common share - Diluted</w:t>
            </w:r>
          </w:p>
        </w:tc>
        <w:tc>
          <w:tcPr>
            <w:tcW w:w="1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2.63</w:t>
            </w:r>
          </w:p>
        </w:tc>
      </w:tr>
      <w:tr>
        <w:trPr>
          <w:trHeight w:val="33"/>
        </w:trPr>
        <w:tc>
          <w:tcPr>
            <w:tcW w:w="86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8720" w:type="dxa"/>
            <w:vAlign w:val="bottom"/>
            <w:gridSpan w:val="2"/>
          </w:tcPr>
          <w:p>
            <w:pPr>
              <w:ind w:left="40"/>
              <w:spacing w:after="0"/>
              <w:rPr>
                <w:sz w:val="20"/>
                <w:szCs w:val="20"/>
                <w:color w:val="auto"/>
              </w:rPr>
            </w:pPr>
            <w:r>
              <w:rPr>
                <w:rFonts w:ascii="Arial" w:cs="Arial" w:eastAsia="Arial" w:hAnsi="Arial"/>
                <w:sz w:val="16"/>
                <w:szCs w:val="16"/>
                <w:color w:val="auto"/>
              </w:rPr>
              <w:t>Return on common shareholders’ equity</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33"/>
        </w:trPr>
        <w:tc>
          <w:tcPr>
            <w:tcW w:w="86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1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r>
      <w:tr>
        <w:trPr>
          <w:trHeight w:val="217"/>
        </w:trPr>
        <w:tc>
          <w:tcPr>
            <w:tcW w:w="8720" w:type="dxa"/>
            <w:vAlign w:val="bottom"/>
            <w:gridSpan w:val="2"/>
          </w:tcPr>
          <w:p>
            <w:pPr>
              <w:ind w:left="40"/>
              <w:spacing w:after="0"/>
              <w:rPr>
                <w:sz w:val="20"/>
                <w:szCs w:val="20"/>
                <w:color w:val="auto"/>
              </w:rPr>
            </w:pPr>
            <w:r>
              <w:rPr>
                <w:rFonts w:ascii="Arial" w:cs="Arial" w:eastAsia="Arial" w:hAnsi="Arial"/>
                <w:sz w:val="16"/>
                <w:szCs w:val="16"/>
                <w:color w:val="auto"/>
              </w:rPr>
              <w:t>Property-Liability combined ratio</w:t>
            </w:r>
          </w:p>
        </w:tc>
        <w:tc>
          <w:tcPr>
            <w:tcW w:w="18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88.0</w:t>
            </w:r>
          </w:p>
        </w:tc>
      </w:tr>
      <w:tr>
        <w:trPr>
          <w:trHeight w:val="33"/>
        </w:trPr>
        <w:tc>
          <w:tcPr>
            <w:tcW w:w="862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1666AF"/>
            </w:tcBorders>
          </w:tcPr>
          <w:p>
            <w:pPr>
              <w:spacing w:after="0"/>
              <w:rPr>
                <w:sz w:val="2"/>
                <w:szCs w:val="2"/>
                <w:color w:val="auto"/>
              </w:rPr>
            </w:pPr>
          </w:p>
        </w:tc>
        <w:tc>
          <w:tcPr>
            <w:tcW w:w="1120" w:type="dxa"/>
            <w:vAlign w:val="bottom"/>
            <w:tcBorders>
              <w:bottom w:val="single" w:sz="8" w:color="1666AF"/>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1666AF"/>
            </w:tcBorders>
          </w:tcPr>
          <w:p>
            <w:pPr>
              <w:spacing w:after="0"/>
              <w:rPr>
                <w:sz w:val="2"/>
                <w:szCs w:val="2"/>
                <w:color w:val="auto"/>
              </w:rPr>
            </w:pPr>
          </w:p>
        </w:tc>
        <w:tc>
          <w:tcPr>
            <w:tcW w:w="1100" w:type="dxa"/>
            <w:vAlign w:val="bottom"/>
            <w:tcBorders>
              <w:bottom w:val="single" w:sz="8" w:color="1666AF"/>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49</w:t>
      </w:r>
    </w:p>
    <w:p>
      <w:pPr>
        <w:sectPr>
          <w:pgSz w:w="11900" w:h="16838" w:orient="portrait"/>
          <w:cols w:equalWidth="0" w:num="1">
            <w:col w:w="11420"/>
          </w:cols>
          <w:pgMar w:left="240" w:top="365" w:right="239" w:bottom="1440" w:gutter="0" w:footer="0" w:header="0"/>
          <w:type w:val="continuous"/>
        </w:sectPr>
      </w:pPr>
    </w:p>
    <w:bookmarkStart w:id="53" w:name="page54"/>
    <w:bookmarkEnd w:id="53"/>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t>Consolidated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Property and casualty insurance premiums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8,802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8,286</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Life premiums and contract charges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616</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216</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786</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40" w:type="dxa"/>
            <w:vAlign w:val="bottom"/>
            <w:tcBorders>
              <w:bottom w:val="single" w:sz="8" w:color="ACACAC"/>
            </w:tcBorders>
          </w:tcPr>
          <w:p>
            <w:pPr>
              <w:spacing w:after="0"/>
              <w:rPr>
                <w:sz w:val="2"/>
                <w:szCs w:val="2"/>
                <w:color w:val="auto"/>
              </w:rPr>
            </w:pPr>
          </w:p>
        </w:tc>
        <w:tc>
          <w:tcPr>
            <w:tcW w:w="8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340" w:type="dxa"/>
            <w:vAlign w:val="bottom"/>
            <w:gridSpan w:val="2"/>
          </w:tcPr>
          <w:p>
            <w:pPr>
              <w:ind w:left="40"/>
              <w:spacing w:after="0"/>
              <w:rPr>
                <w:sz w:val="20"/>
                <w:szCs w:val="20"/>
                <w:color w:val="auto"/>
              </w:rPr>
            </w:pPr>
            <w:r>
              <w:rPr>
                <w:rFonts w:ascii="Arial" w:cs="Arial" w:eastAsia="Arial" w:hAnsi="Arial"/>
                <w:sz w:val="16"/>
                <w:szCs w:val="16"/>
                <w:color w:val="auto"/>
              </w:rPr>
              <w:t>Total other-than-temporary impairment (“OTTI”) losses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40" w:type="dxa"/>
            <w:vAlign w:val="bottom"/>
            <w:tcBorders>
              <w:bottom w:val="single" w:sz="8" w:color="ACACAC"/>
            </w:tcBorders>
          </w:tcPr>
          <w:p>
            <w:pPr>
              <w:spacing w:after="0"/>
              <w:rPr>
                <w:sz w:val="2"/>
                <w:szCs w:val="2"/>
                <w:color w:val="auto"/>
              </w:rPr>
            </w:pPr>
          </w:p>
        </w:tc>
        <w:tc>
          <w:tcPr>
            <w:tcW w:w="8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340" w:type="dxa"/>
            <w:vAlign w:val="bottom"/>
            <w:gridSpan w:val="2"/>
          </w:tcPr>
          <w:p>
            <w:pPr>
              <w:ind w:left="40"/>
              <w:spacing w:after="0"/>
              <w:rPr>
                <w:sz w:val="20"/>
                <w:szCs w:val="20"/>
                <w:color w:val="auto"/>
              </w:rPr>
            </w:pPr>
            <w:r>
              <w:rPr>
                <w:rFonts w:ascii="Arial" w:cs="Arial" w:eastAsia="Arial" w:hAnsi="Arial"/>
                <w:sz w:val="16"/>
                <w:szCs w:val="16"/>
                <w:color w:val="auto"/>
              </w:rPr>
              <w:t>OTTI losses reclassified to (from) other comprehensive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240" w:type="dxa"/>
            <w:vAlign w:val="bottom"/>
            <w:tcBorders>
              <w:bottom w:val="single" w:sz="8" w:color="005BA5"/>
            </w:tcBorders>
          </w:tcPr>
          <w:p>
            <w:pPr>
              <w:spacing w:after="0"/>
              <w:rPr>
                <w:sz w:val="2"/>
                <w:szCs w:val="2"/>
                <w:color w:val="auto"/>
              </w:rPr>
            </w:pPr>
          </w:p>
        </w:tc>
        <w:tc>
          <w:tcPr>
            <w:tcW w:w="82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340" w:type="dxa"/>
            <w:vAlign w:val="bottom"/>
            <w:gridSpan w:val="2"/>
          </w:tcPr>
          <w:p>
            <w:pPr>
              <w:ind w:left="260"/>
              <w:spacing w:after="0"/>
              <w:rPr>
                <w:sz w:val="20"/>
                <w:szCs w:val="20"/>
                <w:color w:val="auto"/>
              </w:rPr>
            </w:pPr>
            <w:r>
              <w:rPr>
                <w:rFonts w:ascii="Arial" w:cs="Arial" w:eastAsia="Arial" w:hAnsi="Arial"/>
                <w:sz w:val="16"/>
                <w:szCs w:val="16"/>
                <w:color w:val="auto"/>
              </w:rPr>
              <w:t>Net OTTI losses recognized in earnings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240" w:type="dxa"/>
            <w:vAlign w:val="bottom"/>
            <w:tcBorders>
              <w:bottom w:val="single" w:sz="8" w:color="ACACAC"/>
            </w:tcBorders>
          </w:tcPr>
          <w:p>
            <w:pPr>
              <w:spacing w:after="0"/>
              <w:rPr>
                <w:sz w:val="2"/>
                <w:szCs w:val="2"/>
                <w:color w:val="auto"/>
              </w:rPr>
            </w:pPr>
          </w:p>
        </w:tc>
        <w:tc>
          <w:tcPr>
            <w:tcW w:w="82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340" w:type="dxa"/>
            <w:vAlign w:val="bottom"/>
            <w:gridSpan w:val="2"/>
          </w:tcPr>
          <w:p>
            <w:pPr>
              <w:ind w:left="40"/>
              <w:spacing w:after="0"/>
              <w:rPr>
                <w:sz w:val="20"/>
                <w:szCs w:val="20"/>
                <w:color w:val="auto"/>
              </w:rPr>
            </w:pPr>
            <w:r>
              <w:rPr>
                <w:rFonts w:ascii="Arial" w:cs="Arial" w:eastAsia="Arial" w:hAnsi="Arial"/>
                <w:sz w:val="16"/>
                <w:szCs w:val="16"/>
                <w:color w:val="auto"/>
              </w:rPr>
              <w:t>Sales and valuation changes on equity investments and derivatives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05"/>
        </w:trPr>
        <w:tc>
          <w:tcPr>
            <w:tcW w:w="24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33"/>
        </w:trPr>
        <w:tc>
          <w:tcPr>
            <w:tcW w:w="240" w:type="dxa"/>
            <w:vAlign w:val="bottom"/>
            <w:tcBorders>
              <w:bottom w:val="single" w:sz="8" w:color="005BA5"/>
            </w:tcBorders>
          </w:tcPr>
          <w:p>
            <w:pPr>
              <w:spacing w:after="0"/>
              <w:rPr>
                <w:sz w:val="2"/>
                <w:szCs w:val="2"/>
                <w:color w:val="auto"/>
              </w:rPr>
            </w:pPr>
          </w:p>
        </w:tc>
        <w:tc>
          <w:tcPr>
            <w:tcW w:w="82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8340" w:type="dxa"/>
            <w:vAlign w:val="bottom"/>
            <w:gridSpan w:val="2"/>
          </w:tcPr>
          <w:p>
            <w:pPr>
              <w:ind w:left="480"/>
              <w:spacing w:after="0"/>
              <w:rPr>
                <w:sz w:val="20"/>
                <w:szCs w:val="20"/>
                <w:color w:val="auto"/>
              </w:rPr>
            </w:pPr>
            <w:r>
              <w:rPr>
                <w:rFonts w:ascii="Arial" w:cs="Arial" w:eastAsia="Arial" w:hAnsi="Arial"/>
                <w:sz w:val="16"/>
                <w:szCs w:val="16"/>
                <w:color w:val="auto"/>
              </w:rPr>
              <w:t>Total realized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33"/>
        </w:trPr>
        <w:tc>
          <w:tcPr>
            <w:tcW w:w="846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10,990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9,770</w:t>
            </w:r>
          </w:p>
        </w:tc>
      </w:tr>
      <w:tr>
        <w:trPr>
          <w:trHeight w:val="33"/>
        </w:trPr>
        <w:tc>
          <w:tcPr>
            <w:tcW w:w="858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15"/>
        </w:trPr>
        <w:tc>
          <w:tcPr>
            <w:tcW w:w="240" w:type="dxa"/>
            <w:vAlign w:val="bottom"/>
            <w:tcBorders>
              <w:top w:val="single" w:sz="8" w:color="ACACAC"/>
              <w:bottom w:val="single" w:sz="8" w:color="ACACAC"/>
            </w:tcBorders>
          </w:tcPr>
          <w:p>
            <w:pPr>
              <w:spacing w:after="0"/>
              <w:rPr>
                <w:sz w:val="10"/>
                <w:szCs w:val="10"/>
                <w:color w:val="auto"/>
              </w:rPr>
            </w:pPr>
          </w:p>
        </w:tc>
        <w:tc>
          <w:tcPr>
            <w:tcW w:w="8220" w:type="dxa"/>
            <w:vAlign w:val="bottom"/>
            <w:tcBorders>
              <w:top w:val="single" w:sz="8" w:color="ACACAC"/>
              <w:bottom w:val="single" w:sz="8" w:color="ACACAC"/>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CACAC"/>
              <w:bottom w:val="single" w:sz="8" w:color="ACACAC"/>
            </w:tcBorders>
          </w:tcPr>
          <w:p>
            <w:pPr>
              <w:spacing w:after="0"/>
              <w:rPr>
                <w:sz w:val="10"/>
                <w:szCs w:val="10"/>
                <w:color w:val="auto"/>
              </w:rPr>
            </w:pPr>
          </w:p>
        </w:tc>
        <w:tc>
          <w:tcPr>
            <w:tcW w:w="1060" w:type="dxa"/>
            <w:vAlign w:val="bottom"/>
            <w:tcBorders>
              <w:top w:val="single" w:sz="8" w:color="ACACAC"/>
              <w:bottom w:val="single" w:sz="8" w:color="ACACAC"/>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CACAC"/>
              <w:bottom w:val="single" w:sz="8" w:color="ACACAC"/>
            </w:tcBorders>
          </w:tcPr>
          <w:p>
            <w:pPr>
              <w:spacing w:after="0"/>
              <w:rPr>
                <w:sz w:val="10"/>
                <w:szCs w:val="10"/>
                <w:color w:val="auto"/>
              </w:rPr>
            </w:pPr>
          </w:p>
        </w:tc>
        <w:tc>
          <w:tcPr>
            <w:tcW w:w="1040" w:type="dxa"/>
            <w:vAlign w:val="bottom"/>
            <w:tcBorders>
              <w:top w:val="single" w:sz="8" w:color="ACACAC"/>
              <w:bottom w:val="single" w:sz="8" w:color="ACACAC"/>
            </w:tcBorders>
          </w:tcPr>
          <w:p>
            <w:pPr>
              <w:spacing w:after="0"/>
              <w:rPr>
                <w:sz w:val="10"/>
                <w:szCs w:val="10"/>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Property and casualty insurance claims and claims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(5,129)</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Life contract benefits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(504)</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Interest credited to contractholder funds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Amortization of deferred policy acquisition costs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(1,273)</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(1,303)</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Pension and other postretirement remeasurement gains and losses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Amortization of purchased intangible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Restructuring and related charges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846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(9,371)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(8,508)</w:t>
            </w:r>
          </w:p>
        </w:tc>
      </w:tr>
      <w:tr>
        <w:trPr>
          <w:trHeight w:val="33"/>
        </w:trPr>
        <w:tc>
          <w:tcPr>
            <w:tcW w:w="858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15"/>
        </w:trPr>
        <w:tc>
          <w:tcPr>
            <w:tcW w:w="240" w:type="dxa"/>
            <w:vAlign w:val="bottom"/>
            <w:tcBorders>
              <w:top w:val="single" w:sz="8" w:color="005BA5"/>
              <w:bottom w:val="single" w:sz="8" w:color="ACACAC"/>
            </w:tcBorders>
          </w:tcPr>
          <w:p>
            <w:pPr>
              <w:spacing w:after="0"/>
              <w:rPr>
                <w:sz w:val="10"/>
                <w:szCs w:val="10"/>
                <w:color w:val="auto"/>
              </w:rPr>
            </w:pPr>
          </w:p>
        </w:tc>
        <w:tc>
          <w:tcPr>
            <w:tcW w:w="8220" w:type="dxa"/>
            <w:vAlign w:val="bottom"/>
            <w:tcBorders>
              <w:top w:val="single" w:sz="8" w:color="005BA5"/>
              <w:bottom w:val="single" w:sz="8" w:color="ACACAC"/>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005BA5"/>
              <w:bottom w:val="single" w:sz="8" w:color="ACACAC"/>
            </w:tcBorders>
          </w:tcPr>
          <w:p>
            <w:pPr>
              <w:spacing w:after="0"/>
              <w:rPr>
                <w:sz w:val="10"/>
                <w:szCs w:val="10"/>
                <w:color w:val="auto"/>
              </w:rPr>
            </w:pPr>
          </w:p>
        </w:tc>
        <w:tc>
          <w:tcPr>
            <w:tcW w:w="1060" w:type="dxa"/>
            <w:vAlign w:val="bottom"/>
            <w:tcBorders>
              <w:top w:val="single" w:sz="8" w:color="005BA5"/>
              <w:bottom w:val="single" w:sz="8" w:color="ACACAC"/>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005BA5"/>
              <w:bottom w:val="single" w:sz="8" w:color="ACACAC"/>
            </w:tcBorders>
          </w:tcPr>
          <w:p>
            <w:pPr>
              <w:spacing w:after="0"/>
              <w:rPr>
                <w:sz w:val="10"/>
                <w:szCs w:val="10"/>
                <w:color w:val="auto"/>
              </w:rPr>
            </w:pPr>
          </w:p>
        </w:tc>
        <w:tc>
          <w:tcPr>
            <w:tcW w:w="1040" w:type="dxa"/>
            <w:vAlign w:val="bottom"/>
            <w:tcBorders>
              <w:top w:val="single" w:sz="8" w:color="005BA5"/>
              <w:bottom w:val="single" w:sz="8" w:color="ACACAC"/>
            </w:tcBorders>
          </w:tcPr>
          <w:p>
            <w:pPr>
              <w:spacing w:after="0"/>
              <w:rPr>
                <w:sz w:val="10"/>
                <w:szCs w:val="10"/>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Gain on disposition of operations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33"/>
        </w:trPr>
        <w:tc>
          <w:tcPr>
            <w:tcW w:w="846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1,006</w:t>
            </w:r>
          </w:p>
        </w:tc>
      </w:tr>
      <w:tr>
        <w:trPr>
          <w:trHeight w:val="33"/>
        </w:trPr>
        <w:tc>
          <w:tcPr>
            <w:tcW w:w="858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15"/>
        </w:trPr>
        <w:tc>
          <w:tcPr>
            <w:tcW w:w="240" w:type="dxa"/>
            <w:vAlign w:val="bottom"/>
            <w:tcBorders>
              <w:top w:val="single" w:sz="8" w:color="ACACAC"/>
              <w:bottom w:val="single" w:sz="8" w:color="ACACAC"/>
            </w:tcBorders>
          </w:tcPr>
          <w:p>
            <w:pPr>
              <w:spacing w:after="0"/>
              <w:rPr>
                <w:sz w:val="10"/>
                <w:szCs w:val="10"/>
                <w:color w:val="auto"/>
              </w:rPr>
            </w:pPr>
          </w:p>
        </w:tc>
        <w:tc>
          <w:tcPr>
            <w:tcW w:w="8220" w:type="dxa"/>
            <w:vAlign w:val="bottom"/>
            <w:tcBorders>
              <w:top w:val="single" w:sz="8" w:color="ACACAC"/>
              <w:bottom w:val="single" w:sz="8" w:color="ACACAC"/>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top w:val="single" w:sz="8" w:color="ACACAC"/>
              <w:bottom w:val="single" w:sz="8" w:color="ACACAC"/>
            </w:tcBorders>
          </w:tcPr>
          <w:p>
            <w:pPr>
              <w:spacing w:after="0"/>
              <w:rPr>
                <w:sz w:val="10"/>
                <w:szCs w:val="10"/>
                <w:color w:val="auto"/>
              </w:rPr>
            </w:pPr>
          </w:p>
        </w:tc>
        <w:tc>
          <w:tcPr>
            <w:tcW w:w="1060" w:type="dxa"/>
            <w:vAlign w:val="bottom"/>
            <w:tcBorders>
              <w:top w:val="single" w:sz="8" w:color="ACACAC"/>
              <w:bottom w:val="single" w:sz="8" w:color="ACACAC"/>
            </w:tcBorders>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Borders>
              <w:top w:val="single" w:sz="8" w:color="ACACAC"/>
              <w:bottom w:val="single" w:sz="8" w:color="ACACAC"/>
            </w:tcBorders>
          </w:tcPr>
          <w:p>
            <w:pPr>
              <w:spacing w:after="0"/>
              <w:rPr>
                <w:sz w:val="10"/>
                <w:szCs w:val="10"/>
                <w:color w:val="auto"/>
              </w:rPr>
            </w:pPr>
          </w:p>
        </w:tc>
        <w:tc>
          <w:tcPr>
            <w:tcW w:w="1040" w:type="dxa"/>
            <w:vAlign w:val="bottom"/>
            <w:tcBorders>
              <w:top w:val="single" w:sz="8" w:color="ACACAC"/>
              <w:bottom w:val="single" w:sz="8" w:color="ACACAC"/>
            </w:tcBorders>
          </w:tcPr>
          <w:p>
            <w:pPr>
              <w:spacing w:after="0"/>
              <w:rPr>
                <w:sz w:val="10"/>
                <w:szCs w:val="10"/>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color w:val="auto"/>
              </w:rPr>
              <w:t>Preferred stock dividends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846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1,261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977</w:t>
            </w:r>
          </w:p>
        </w:tc>
      </w:tr>
      <w:tr>
        <w:trPr>
          <w:trHeight w:val="33"/>
        </w:trPr>
        <w:tc>
          <w:tcPr>
            <w:tcW w:w="240" w:type="dxa"/>
            <w:vAlign w:val="bottom"/>
            <w:tcBorders>
              <w:bottom w:val="single" w:sz="8" w:color="005BA5"/>
            </w:tcBorders>
          </w:tcPr>
          <w:p>
            <w:pPr>
              <w:spacing w:after="0"/>
              <w:rPr>
                <w:sz w:val="2"/>
                <w:szCs w:val="2"/>
                <w:color w:val="auto"/>
              </w:rPr>
            </w:pPr>
          </w:p>
        </w:tc>
        <w:tc>
          <w:tcPr>
            <w:tcW w:w="82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730"/>
        </w:trPr>
        <w:tc>
          <w:tcPr>
            <w:tcW w:w="240" w:type="dxa"/>
            <w:vAlign w:val="bottom"/>
          </w:tcPr>
          <w:p>
            <w:pPr>
              <w:spacing w:after="0"/>
              <w:rPr>
                <w:sz w:val="20"/>
                <w:szCs w:val="20"/>
                <w:color w:val="auto"/>
              </w:rPr>
            </w:pPr>
            <w:r>
              <w:rPr>
                <w:rFonts w:ascii="Arial" w:cs="Arial" w:eastAsia="Arial" w:hAnsi="Arial"/>
                <w:sz w:val="16"/>
                <w:szCs w:val="16"/>
                <w:color w:val="1666AF"/>
              </w:rPr>
              <w:t>50</w:t>
            </w:r>
          </w:p>
        </w:tc>
        <w:tc>
          <w:tcPr>
            <w:tcW w:w="8340" w:type="dxa"/>
            <w:vAlign w:val="bottom"/>
            <w:gridSpan w:val="2"/>
          </w:tcPr>
          <w:p>
            <w:pPr>
              <w:ind w:left="220"/>
              <w:spacing w:after="0"/>
              <w:rPr>
                <w:sz w:val="20"/>
                <w:szCs w:val="20"/>
                <w:color w:val="auto"/>
              </w:rPr>
            </w:pPr>
            <w:r>
              <w:rPr>
                <w:rFonts w:ascii="Arial" w:cs="Arial" w:eastAsia="Arial" w:hAnsi="Arial"/>
                <w:sz w:val="16"/>
                <w:szCs w:val="16"/>
                <w:color w:val="auto"/>
              </w:rPr>
              <w:t>www.allstate.com</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-141605</wp:posOffset>
            </wp:positionV>
            <wp:extent cx="111760" cy="1117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Property-Liability Operations</w:t>
      </w:r>
    </w:p>
    <w:p>
      <w:pPr>
        <w:spacing w:after="0" w:line="11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6"/>
          <w:szCs w:val="16"/>
          <w:b w:val="1"/>
          <w:bCs w:val="1"/>
          <w:color w:val="1666AF"/>
        </w:rPr>
        <w:t xml:space="preserve">Overview </w:t>
      </w:r>
      <w:r>
        <w:rPr>
          <w:rFonts w:ascii="Arial" w:cs="Arial" w:eastAsia="Arial" w:hAnsi="Arial"/>
          <w:sz w:val="16"/>
          <w:szCs w:val="16"/>
          <w:color w:val="000000"/>
        </w:rPr>
        <w:t>Our Property-Liability operations consist of two reportable</w:t>
      </w:r>
      <w:r>
        <w:rPr>
          <w:rFonts w:ascii="Arial" w:cs="Arial" w:eastAsia="Arial" w:hAnsi="Arial"/>
          <w:sz w:val="16"/>
          <w:szCs w:val="16"/>
          <w:b w:val="1"/>
          <w:bCs w:val="1"/>
          <w:color w:val="1666AF"/>
        </w:rPr>
        <w:t xml:space="preserve"> </w:t>
      </w:r>
      <w:r>
        <w:rPr>
          <w:rFonts w:ascii="Arial" w:cs="Arial" w:eastAsia="Arial" w:hAnsi="Arial"/>
          <w:sz w:val="16"/>
          <w:szCs w:val="16"/>
          <w:color w:val="000000"/>
        </w:rPr>
        <w:t>segments: Allstate Protection and Discontinued Lines and Coverages. These segments are consistent with the groupings of financial information that management uses to evaluate performance and to determine the allocation of resources.</w:t>
      </w:r>
    </w:p>
    <w:p>
      <w:pPr>
        <w:spacing w:after="0" w:line="92" w:lineRule="exact"/>
        <w:rPr>
          <w:sz w:val="20"/>
          <w:szCs w:val="20"/>
          <w:color w:val="auto"/>
        </w:rPr>
      </w:pPr>
    </w:p>
    <w:p>
      <w:pPr>
        <w:ind w:right="60" w:firstLine="324"/>
        <w:spacing w:after="0" w:line="251" w:lineRule="auto"/>
        <w:rPr>
          <w:sz w:val="20"/>
          <w:szCs w:val="20"/>
          <w:color w:val="auto"/>
        </w:rPr>
      </w:pPr>
      <w:r>
        <w:rPr>
          <w:rFonts w:ascii="Arial" w:cs="Arial" w:eastAsia="Arial" w:hAnsi="Arial"/>
          <w:sz w:val="16"/>
          <w:szCs w:val="16"/>
          <w:color w:val="auto"/>
        </w:rPr>
        <w:t>We do not allocate Property-Liability investment income, realized capital gains and losses, or assets to the Allstate Protection and Discontinued Lines and Coverages segments. Management reviews assets at the Property-Liability level for decision-making purposes.</w:t>
      </w:r>
    </w:p>
    <w:p>
      <w:pPr>
        <w:spacing w:after="0" w:line="9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The table below includes GAAP operating ratios we use to measure our profitability. We believe that they enhance an investor’s understanding of our profitability. They are calculated as follows:</w:t>
      </w:r>
    </w:p>
    <w:p>
      <w:pPr>
        <w:spacing w:after="0" w:line="77" w:lineRule="exact"/>
        <w:rPr>
          <w:sz w:val="20"/>
          <w:szCs w:val="20"/>
          <w:color w:val="auto"/>
        </w:rPr>
      </w:pPr>
    </w:p>
    <w:p>
      <w:pPr>
        <w:ind w:left="340" w:right="80" w:hanging="251"/>
        <w:spacing w:after="0" w:line="281" w:lineRule="auto"/>
        <w:tabs>
          <w:tab w:leader="none" w:pos="340" w:val="left"/>
        </w:tabs>
        <w:numPr>
          <w:ilvl w:val="0"/>
          <w:numId w:val="28"/>
        </w:numPr>
        <w:rPr>
          <w:rFonts w:ascii="Arial" w:cs="Arial" w:eastAsia="Arial" w:hAnsi="Arial"/>
          <w:sz w:val="16"/>
          <w:szCs w:val="16"/>
          <w:color w:val="005BA5"/>
        </w:rPr>
      </w:pPr>
      <w:r>
        <w:rPr>
          <w:rFonts w:ascii="Arial" w:cs="Arial" w:eastAsia="Arial" w:hAnsi="Arial"/>
          <w:sz w:val="16"/>
          <w:szCs w:val="16"/>
          <w:i w:val="1"/>
          <w:iCs w:val="1"/>
          <w:color w:val="1666AF"/>
        </w:rPr>
        <w:t>Loss ratio</w:t>
      </w:r>
      <w:r>
        <w:rPr>
          <w:rFonts w:ascii="Arial" w:cs="Arial" w:eastAsia="Arial" w:hAnsi="Arial"/>
          <w:sz w:val="16"/>
          <w:szCs w:val="16"/>
          <w:color w:val="000000"/>
        </w:rPr>
        <w:t>: the ratio of claims and claims expense to premiums earned.</w:t>
      </w:r>
      <w:r>
        <w:rPr>
          <w:rFonts w:ascii="Arial" w:cs="Arial" w:eastAsia="Arial" w:hAnsi="Arial"/>
          <w:sz w:val="16"/>
          <w:szCs w:val="16"/>
          <w:i w:val="1"/>
          <w:iCs w:val="1"/>
          <w:color w:val="1666AF"/>
        </w:rPr>
        <w:t xml:space="preserve"> </w:t>
      </w:r>
      <w:r>
        <w:rPr>
          <w:rFonts w:ascii="Arial" w:cs="Arial" w:eastAsia="Arial" w:hAnsi="Arial"/>
          <w:sz w:val="16"/>
          <w:szCs w:val="16"/>
          <w:color w:val="000000"/>
        </w:rPr>
        <w:t>Loss ratios include the impact of catastrophe losses.</w:t>
      </w:r>
    </w:p>
    <w:p>
      <w:pPr>
        <w:spacing w:after="0" w:line="55" w:lineRule="exact"/>
        <w:rPr>
          <w:rFonts w:ascii="Arial" w:cs="Arial" w:eastAsia="Arial" w:hAnsi="Arial"/>
          <w:sz w:val="16"/>
          <w:szCs w:val="16"/>
          <w:color w:val="005BA5"/>
        </w:rPr>
      </w:pPr>
    </w:p>
    <w:p>
      <w:pPr>
        <w:ind w:left="340" w:right="300" w:hanging="251"/>
        <w:spacing w:after="0" w:line="258" w:lineRule="auto"/>
        <w:tabs>
          <w:tab w:leader="none" w:pos="340" w:val="left"/>
        </w:tabs>
        <w:numPr>
          <w:ilvl w:val="0"/>
          <w:numId w:val="28"/>
        </w:numPr>
        <w:rPr>
          <w:rFonts w:ascii="Arial" w:cs="Arial" w:eastAsia="Arial" w:hAnsi="Arial"/>
          <w:sz w:val="16"/>
          <w:szCs w:val="16"/>
          <w:color w:val="005BA5"/>
        </w:rPr>
      </w:pPr>
      <w:r>
        <w:rPr>
          <w:rFonts w:ascii="Arial" w:cs="Arial" w:eastAsia="Arial" w:hAnsi="Arial"/>
          <w:sz w:val="16"/>
          <w:szCs w:val="16"/>
          <w:i w:val="1"/>
          <w:iCs w:val="1"/>
          <w:color w:val="1666AF"/>
        </w:rPr>
        <w:t>Expense ratio</w:t>
      </w:r>
      <w:r>
        <w:rPr>
          <w:rFonts w:ascii="Arial" w:cs="Arial" w:eastAsia="Arial" w:hAnsi="Arial"/>
          <w:sz w:val="16"/>
          <w:szCs w:val="16"/>
          <w:color w:val="000000"/>
        </w:rPr>
        <w:t>: the ratio of amortization of DAC, operating costs and</w:t>
      </w:r>
      <w:r>
        <w:rPr>
          <w:rFonts w:ascii="Arial" w:cs="Arial" w:eastAsia="Arial" w:hAnsi="Arial"/>
          <w:sz w:val="16"/>
          <w:szCs w:val="16"/>
          <w:i w:val="1"/>
          <w:iCs w:val="1"/>
          <w:color w:val="1666AF"/>
        </w:rPr>
        <w:t xml:space="preserve"> </w:t>
      </w:r>
      <w:r>
        <w:rPr>
          <w:rFonts w:ascii="Arial" w:cs="Arial" w:eastAsia="Arial" w:hAnsi="Arial"/>
          <w:sz w:val="16"/>
          <w:szCs w:val="16"/>
          <w:color w:val="000000"/>
        </w:rPr>
        <w:t>expenses, amortization of purchased intangible assets and restructuring and related charges, less other revenue to premiums earned.</w:t>
      </w:r>
    </w:p>
    <w:p>
      <w:pPr>
        <w:spacing w:after="0" w:line="73" w:lineRule="exact"/>
        <w:rPr>
          <w:rFonts w:ascii="Arial" w:cs="Arial" w:eastAsia="Arial" w:hAnsi="Arial"/>
          <w:sz w:val="16"/>
          <w:szCs w:val="16"/>
          <w:color w:val="005BA5"/>
        </w:rPr>
      </w:pPr>
    </w:p>
    <w:p>
      <w:pPr>
        <w:ind w:left="340" w:right="40" w:hanging="251"/>
        <w:spacing w:after="0" w:line="252" w:lineRule="auto"/>
        <w:tabs>
          <w:tab w:leader="none" w:pos="340" w:val="left"/>
        </w:tabs>
        <w:numPr>
          <w:ilvl w:val="0"/>
          <w:numId w:val="28"/>
        </w:numPr>
        <w:rPr>
          <w:rFonts w:ascii="Arial" w:cs="Arial" w:eastAsia="Arial" w:hAnsi="Arial"/>
          <w:sz w:val="16"/>
          <w:szCs w:val="16"/>
          <w:color w:val="005BA5"/>
        </w:rPr>
      </w:pPr>
      <w:r>
        <w:rPr>
          <w:rFonts w:ascii="Arial" w:cs="Arial" w:eastAsia="Arial" w:hAnsi="Arial"/>
          <w:sz w:val="16"/>
          <w:szCs w:val="16"/>
          <w:i w:val="1"/>
          <w:iCs w:val="1"/>
          <w:color w:val="1666AF"/>
        </w:rPr>
        <w:t>Combined ratio</w:t>
      </w:r>
      <w:r>
        <w:rPr>
          <w:rFonts w:ascii="Arial" w:cs="Arial" w:eastAsia="Arial" w:hAnsi="Arial"/>
          <w:sz w:val="16"/>
          <w:szCs w:val="16"/>
          <w:color w:val="000000"/>
        </w:rPr>
        <w:t>: the ratio of claims and claims expense, amortization of</w:t>
      </w:r>
      <w:r>
        <w:rPr>
          <w:rFonts w:ascii="Arial" w:cs="Arial" w:eastAsia="Arial" w:hAnsi="Arial"/>
          <w:sz w:val="16"/>
          <w:szCs w:val="16"/>
          <w:i w:val="1"/>
          <w:iCs w:val="1"/>
          <w:color w:val="1666AF"/>
        </w:rPr>
        <w:t xml:space="preserve"> </w:t>
      </w:r>
      <w:r>
        <w:rPr>
          <w:rFonts w:ascii="Arial" w:cs="Arial" w:eastAsia="Arial" w:hAnsi="Arial"/>
          <w:sz w:val="16"/>
          <w:szCs w:val="16"/>
          <w:color w:val="000000"/>
        </w:rPr>
        <w:t>DAC, operating costs and expenses, amortization of purchased intangible assets and restructuring and related charges, less other revenue to premiums earned. The combined ratio is the sum of the loss ratio and the expense ratio. The difference between 100% and the combined ratio represents underwriting income as a percentage of premiums earned, or underwriting margin.</w:t>
      </w:r>
    </w:p>
    <w:p>
      <w:pPr>
        <w:spacing w:after="0" w:line="20" w:lineRule="exact"/>
        <w:rPr>
          <w:sz w:val="20"/>
          <w:szCs w:val="20"/>
          <w:color w:val="auto"/>
        </w:rPr>
      </w:pPr>
      <w:r>
        <w:rPr>
          <w:sz w:val="20"/>
          <w:szCs w:val="20"/>
          <w:color w:val="auto"/>
        </w:rPr>
        <w:br w:type="column"/>
      </w:r>
    </w:p>
    <w:p>
      <w:pPr>
        <w:ind w:left="3440"/>
        <w:spacing w:after="0"/>
        <w:rPr>
          <w:sz w:val="20"/>
          <w:szCs w:val="20"/>
          <w:color w:val="auto"/>
        </w:rPr>
      </w:pPr>
      <w:r>
        <w:rPr>
          <w:rFonts w:ascii="Arial" w:cs="Arial" w:eastAsia="Arial" w:hAnsi="Arial"/>
          <w:sz w:val="16"/>
          <w:szCs w:val="16"/>
          <w:color w:val="005BA5"/>
        </w:rPr>
        <w:t>Property-Liability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324"/>
        <w:spacing w:after="0" w:line="253" w:lineRule="auto"/>
        <w:rPr>
          <w:sz w:val="20"/>
          <w:szCs w:val="20"/>
          <w:color w:val="auto"/>
        </w:rPr>
      </w:pPr>
      <w:r>
        <w:rPr>
          <w:rFonts w:ascii="Arial" w:cs="Arial" w:eastAsia="Arial" w:hAnsi="Arial"/>
          <w:sz w:val="16"/>
          <w:szCs w:val="16"/>
          <w:color w:val="auto"/>
        </w:rPr>
        <w:t>We have also calculated the following impacts of specific items on the GAAP operating ratios because of the volatility of these items between fiscal periods.</w:t>
      </w:r>
    </w:p>
    <w:p>
      <w:pPr>
        <w:spacing w:after="0" w:line="77" w:lineRule="exact"/>
        <w:rPr>
          <w:sz w:val="20"/>
          <w:szCs w:val="20"/>
          <w:color w:val="auto"/>
        </w:rPr>
      </w:pPr>
    </w:p>
    <w:p>
      <w:pPr>
        <w:ind w:left="320" w:right="20" w:hanging="237"/>
        <w:spacing w:after="0" w:line="264" w:lineRule="auto"/>
        <w:tabs>
          <w:tab w:leader="none" w:pos="320" w:val="left"/>
        </w:tabs>
        <w:numPr>
          <w:ilvl w:val="0"/>
          <w:numId w:val="29"/>
        </w:numPr>
        <w:rPr>
          <w:rFonts w:ascii="Arial" w:cs="Arial" w:eastAsia="Arial" w:hAnsi="Arial"/>
          <w:sz w:val="16"/>
          <w:szCs w:val="16"/>
          <w:color w:val="005BA5"/>
        </w:rPr>
      </w:pPr>
      <w:r>
        <w:rPr>
          <w:rFonts w:ascii="Arial" w:cs="Arial" w:eastAsia="Arial" w:hAnsi="Arial"/>
          <w:sz w:val="16"/>
          <w:szCs w:val="16"/>
          <w:i w:val="1"/>
          <w:iCs w:val="1"/>
          <w:color w:val="1666AF"/>
        </w:rPr>
        <w:t>Effect of catastrophe losses on combined ratio</w:t>
      </w:r>
      <w:r>
        <w:rPr>
          <w:rFonts w:ascii="Arial" w:cs="Arial" w:eastAsia="Arial" w:hAnsi="Arial"/>
          <w:sz w:val="16"/>
          <w:szCs w:val="16"/>
          <w:color w:val="000000"/>
        </w:rPr>
        <w:t>: the ratio of catastrophe</w:t>
      </w:r>
      <w:r>
        <w:rPr>
          <w:rFonts w:ascii="Arial" w:cs="Arial" w:eastAsia="Arial" w:hAnsi="Arial"/>
          <w:sz w:val="16"/>
          <w:szCs w:val="16"/>
          <w:i w:val="1"/>
          <w:iCs w:val="1"/>
          <w:color w:val="1666AF"/>
        </w:rPr>
        <w:t xml:space="preserve"> </w:t>
      </w:r>
      <w:r>
        <w:rPr>
          <w:rFonts w:ascii="Arial" w:cs="Arial" w:eastAsia="Arial" w:hAnsi="Arial"/>
          <w:sz w:val="16"/>
          <w:szCs w:val="16"/>
          <w:color w:val="000000"/>
        </w:rPr>
        <w:t>losses included in claims and claims expense to premiums earned. This ratio includes prior year reserve reestimates of catastrophe losses.</w:t>
      </w:r>
    </w:p>
    <w:p>
      <w:pPr>
        <w:spacing w:after="0" w:line="68" w:lineRule="exact"/>
        <w:rPr>
          <w:rFonts w:ascii="Arial" w:cs="Arial" w:eastAsia="Arial" w:hAnsi="Arial"/>
          <w:sz w:val="16"/>
          <w:szCs w:val="16"/>
          <w:color w:val="005BA5"/>
        </w:rPr>
      </w:pPr>
    </w:p>
    <w:p>
      <w:pPr>
        <w:ind w:left="320" w:right="20" w:hanging="237"/>
        <w:spacing w:after="0" w:line="258" w:lineRule="auto"/>
        <w:tabs>
          <w:tab w:leader="none" w:pos="320" w:val="left"/>
        </w:tabs>
        <w:numPr>
          <w:ilvl w:val="0"/>
          <w:numId w:val="29"/>
        </w:numPr>
        <w:rPr>
          <w:rFonts w:ascii="Arial" w:cs="Arial" w:eastAsia="Arial" w:hAnsi="Arial"/>
          <w:sz w:val="16"/>
          <w:szCs w:val="16"/>
          <w:color w:val="005BA5"/>
        </w:rPr>
      </w:pPr>
      <w:r>
        <w:rPr>
          <w:rFonts w:ascii="Arial" w:cs="Arial" w:eastAsia="Arial" w:hAnsi="Arial"/>
          <w:sz w:val="16"/>
          <w:szCs w:val="16"/>
          <w:i w:val="1"/>
          <w:iCs w:val="1"/>
          <w:color w:val="1666AF"/>
        </w:rPr>
        <w:t>Effect of prior year reserve reestimates on combined ratio</w:t>
      </w:r>
      <w:r>
        <w:rPr>
          <w:rFonts w:ascii="Arial" w:cs="Arial" w:eastAsia="Arial" w:hAnsi="Arial"/>
          <w:sz w:val="16"/>
          <w:szCs w:val="16"/>
          <w:color w:val="000000"/>
        </w:rPr>
        <w:t>: the ratio of</w:t>
      </w:r>
      <w:r>
        <w:rPr>
          <w:rFonts w:ascii="Arial" w:cs="Arial" w:eastAsia="Arial" w:hAnsi="Arial"/>
          <w:sz w:val="16"/>
          <w:szCs w:val="16"/>
          <w:i w:val="1"/>
          <w:iCs w:val="1"/>
          <w:color w:val="1666AF"/>
        </w:rPr>
        <w:t xml:space="preserve"> </w:t>
      </w:r>
      <w:r>
        <w:rPr>
          <w:rFonts w:ascii="Arial" w:cs="Arial" w:eastAsia="Arial" w:hAnsi="Arial"/>
          <w:sz w:val="16"/>
          <w:szCs w:val="16"/>
          <w:color w:val="000000"/>
        </w:rPr>
        <w:t>prior year reserve reestimates included in claims and claims expense to premiums earned. This ratio includes prior year reserve reestimates of catastrophe losses.</w:t>
      </w:r>
    </w:p>
    <w:p>
      <w:pPr>
        <w:spacing w:after="0" w:line="73" w:lineRule="exact"/>
        <w:rPr>
          <w:rFonts w:ascii="Arial" w:cs="Arial" w:eastAsia="Arial" w:hAnsi="Arial"/>
          <w:sz w:val="16"/>
          <w:szCs w:val="16"/>
          <w:color w:val="005BA5"/>
        </w:rPr>
      </w:pPr>
    </w:p>
    <w:p>
      <w:pPr>
        <w:ind w:left="320" w:right="20" w:hanging="237"/>
        <w:spacing w:after="0" w:line="264" w:lineRule="auto"/>
        <w:tabs>
          <w:tab w:leader="none" w:pos="320" w:val="left"/>
        </w:tabs>
        <w:numPr>
          <w:ilvl w:val="0"/>
          <w:numId w:val="29"/>
        </w:numPr>
        <w:rPr>
          <w:rFonts w:ascii="Arial" w:cs="Arial" w:eastAsia="Arial" w:hAnsi="Arial"/>
          <w:sz w:val="16"/>
          <w:szCs w:val="16"/>
          <w:color w:val="005BA5"/>
        </w:rPr>
      </w:pPr>
      <w:r>
        <w:rPr>
          <w:rFonts w:ascii="Arial" w:cs="Arial" w:eastAsia="Arial" w:hAnsi="Arial"/>
          <w:sz w:val="16"/>
          <w:szCs w:val="16"/>
          <w:i w:val="1"/>
          <w:iCs w:val="1"/>
          <w:color w:val="1666AF"/>
        </w:rPr>
        <w:t>Effect of amortization of purchased intangible assets on combined ratio</w:t>
      </w:r>
      <w:r>
        <w:rPr>
          <w:rFonts w:ascii="Arial" w:cs="Arial" w:eastAsia="Arial" w:hAnsi="Arial"/>
          <w:sz w:val="16"/>
          <w:szCs w:val="16"/>
          <w:color w:val="000000"/>
        </w:rPr>
        <w:t>:</w:t>
      </w:r>
      <w:r>
        <w:rPr>
          <w:rFonts w:ascii="Arial" w:cs="Arial" w:eastAsia="Arial" w:hAnsi="Arial"/>
          <w:sz w:val="16"/>
          <w:szCs w:val="16"/>
          <w:i w:val="1"/>
          <w:iCs w:val="1"/>
          <w:color w:val="1666AF"/>
        </w:rPr>
        <w:t xml:space="preserve"> </w:t>
      </w:r>
      <w:r>
        <w:rPr>
          <w:rFonts w:ascii="Arial" w:cs="Arial" w:eastAsia="Arial" w:hAnsi="Arial"/>
          <w:sz w:val="16"/>
          <w:szCs w:val="16"/>
          <w:color w:val="000000"/>
        </w:rPr>
        <w:t>the ratio of amortization of purchased intangible assets to premiums earned.</w:t>
      </w:r>
    </w:p>
    <w:p>
      <w:pPr>
        <w:spacing w:after="0" w:line="68" w:lineRule="exact"/>
        <w:rPr>
          <w:rFonts w:ascii="Arial" w:cs="Arial" w:eastAsia="Arial" w:hAnsi="Arial"/>
          <w:sz w:val="16"/>
          <w:szCs w:val="16"/>
          <w:color w:val="005BA5"/>
        </w:rPr>
      </w:pPr>
    </w:p>
    <w:p>
      <w:pPr>
        <w:ind w:left="320" w:right="120" w:hanging="237"/>
        <w:spacing w:after="0" w:line="281" w:lineRule="auto"/>
        <w:tabs>
          <w:tab w:leader="none" w:pos="320" w:val="left"/>
        </w:tabs>
        <w:numPr>
          <w:ilvl w:val="0"/>
          <w:numId w:val="29"/>
        </w:numPr>
        <w:rPr>
          <w:rFonts w:ascii="Arial" w:cs="Arial" w:eastAsia="Arial" w:hAnsi="Arial"/>
          <w:sz w:val="16"/>
          <w:szCs w:val="16"/>
          <w:color w:val="005BA5"/>
        </w:rPr>
      </w:pPr>
      <w:r>
        <w:rPr>
          <w:rFonts w:ascii="Arial" w:cs="Arial" w:eastAsia="Arial" w:hAnsi="Arial"/>
          <w:sz w:val="16"/>
          <w:szCs w:val="16"/>
          <w:i w:val="1"/>
          <w:iCs w:val="1"/>
          <w:color w:val="1666AF"/>
        </w:rPr>
        <w:t>Effect of restructuring and related charges on combined ratio</w:t>
      </w:r>
      <w:r>
        <w:rPr>
          <w:rFonts w:ascii="Arial" w:cs="Arial" w:eastAsia="Arial" w:hAnsi="Arial"/>
          <w:sz w:val="16"/>
          <w:szCs w:val="16"/>
          <w:color w:val="000000"/>
        </w:rPr>
        <w:t>: the ratio</w:t>
      </w:r>
      <w:r>
        <w:rPr>
          <w:rFonts w:ascii="Arial" w:cs="Arial" w:eastAsia="Arial" w:hAnsi="Arial"/>
          <w:sz w:val="16"/>
          <w:szCs w:val="16"/>
          <w:i w:val="1"/>
          <w:iCs w:val="1"/>
          <w:color w:val="1666AF"/>
        </w:rPr>
        <w:t xml:space="preserve"> </w:t>
      </w:r>
      <w:r>
        <w:rPr>
          <w:rFonts w:ascii="Arial" w:cs="Arial" w:eastAsia="Arial" w:hAnsi="Arial"/>
          <w:sz w:val="16"/>
          <w:szCs w:val="16"/>
          <w:color w:val="000000"/>
        </w:rPr>
        <w:t>of restructuring and related charges to premiums earned.</w:t>
      </w:r>
    </w:p>
    <w:p>
      <w:pPr>
        <w:spacing w:after="0" w:line="55" w:lineRule="exact"/>
        <w:rPr>
          <w:rFonts w:ascii="Arial" w:cs="Arial" w:eastAsia="Arial" w:hAnsi="Arial"/>
          <w:sz w:val="16"/>
          <w:szCs w:val="16"/>
          <w:color w:val="005BA5"/>
        </w:rPr>
      </w:pPr>
    </w:p>
    <w:p>
      <w:pPr>
        <w:ind w:left="320" w:right="80" w:hanging="237"/>
        <w:spacing w:after="0" w:line="253" w:lineRule="auto"/>
        <w:tabs>
          <w:tab w:leader="none" w:pos="320" w:val="left"/>
        </w:tabs>
        <w:numPr>
          <w:ilvl w:val="0"/>
          <w:numId w:val="29"/>
        </w:numPr>
        <w:rPr>
          <w:rFonts w:ascii="Arial" w:cs="Arial" w:eastAsia="Arial" w:hAnsi="Arial"/>
          <w:sz w:val="16"/>
          <w:szCs w:val="16"/>
          <w:color w:val="005BA5"/>
        </w:rPr>
      </w:pPr>
      <w:r>
        <w:rPr>
          <w:rFonts w:ascii="Arial" w:cs="Arial" w:eastAsia="Arial" w:hAnsi="Arial"/>
          <w:sz w:val="16"/>
          <w:szCs w:val="16"/>
          <w:i w:val="1"/>
          <w:iCs w:val="1"/>
          <w:color w:val="1666AF"/>
        </w:rPr>
        <w:t>Effect of Discontinued Lines and Coverages on combined ratio</w:t>
      </w:r>
      <w:r>
        <w:rPr>
          <w:rFonts w:ascii="Arial" w:cs="Arial" w:eastAsia="Arial" w:hAnsi="Arial"/>
          <w:sz w:val="16"/>
          <w:szCs w:val="16"/>
          <w:color w:val="000000"/>
        </w:rPr>
        <w:t>: the</w:t>
      </w:r>
      <w:r>
        <w:rPr>
          <w:rFonts w:ascii="Arial" w:cs="Arial" w:eastAsia="Arial" w:hAnsi="Arial"/>
          <w:sz w:val="16"/>
          <w:szCs w:val="16"/>
          <w:i w:val="1"/>
          <w:iCs w:val="1"/>
          <w:color w:val="1666AF"/>
        </w:rPr>
        <w:t xml:space="preserve"> </w:t>
      </w:r>
      <w:r>
        <w:rPr>
          <w:rFonts w:ascii="Arial" w:cs="Arial" w:eastAsia="Arial" w:hAnsi="Arial"/>
          <w:sz w:val="16"/>
          <w:szCs w:val="16"/>
          <w:color w:val="000000"/>
        </w:rPr>
        <w:t>ratio of claims and claims expense and operating costs and expenses in the Discontinued Lines and Coverages segment to Property-Liability premiums earned. The sum of the effect of Discontinued Lines and Coverages on the combined ratio and the Allstate Protection combined ratio is equal to the Property-Liability combined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51</w:t>
      </w:r>
    </w:p>
    <w:p>
      <w:pPr>
        <w:sectPr>
          <w:pgSz w:w="11900" w:h="16838" w:orient="portrait"/>
          <w:cols w:equalWidth="0" w:num="2">
            <w:col w:w="5480" w:space="460"/>
            <w:col w:w="5480"/>
          </w:cols>
          <w:pgMar w:left="240" w:top="141"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005BA5"/>
        </w:rPr>
        <w:t>Property-Liability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Summarized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6740"/>
              <w:spacing w:after="0"/>
              <w:rPr>
                <w:sz w:val="20"/>
                <w:szCs w:val="20"/>
                <w:color w:val="auto"/>
              </w:rPr>
            </w:pPr>
            <w:r>
              <w:rPr>
                <w:rFonts w:ascii="Arial" w:cs="Arial" w:eastAsia="Arial" w:hAnsi="Arial"/>
                <w:sz w:val="14"/>
                <w:szCs w:val="14"/>
                <w:b w:val="1"/>
                <w:bCs w:val="1"/>
                <w:color w:val="auto"/>
                <w:w w:val="92"/>
              </w:rPr>
              <w:t>($ in millions, except ratios)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Premiums written</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8,327</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7,844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352"/>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 earned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8,507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8,019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9,471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8,435</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Claims and claims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(5,038)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DAC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Restructuring and related charges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(7,983)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(7,188)</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1,182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990</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005BA5"/>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005BA5"/>
              <w:bottom w:val="single" w:sz="8" w:color="ACACAC"/>
            </w:tcBorders>
          </w:tcPr>
          <w:p>
            <w:pPr>
              <w:spacing w:after="0"/>
              <w:rPr>
                <w:sz w:val="22"/>
                <w:szCs w:val="22"/>
                <w:color w:val="auto"/>
              </w:rPr>
            </w:pPr>
          </w:p>
        </w:tc>
        <w:tc>
          <w:tcPr>
            <w:tcW w:w="1060" w:type="dxa"/>
            <w:vAlign w:val="bottom"/>
            <w:tcBorders>
              <w:top w:val="single" w:sz="8" w:color="005BA5"/>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005BA5"/>
              <w:bottom w:val="single" w:sz="8" w:color="ACACAC"/>
            </w:tcBorders>
          </w:tcPr>
          <w:p>
            <w:pPr>
              <w:spacing w:after="0"/>
              <w:rPr>
                <w:sz w:val="22"/>
                <w:szCs w:val="22"/>
                <w:color w:val="auto"/>
              </w:rPr>
            </w:pPr>
          </w:p>
        </w:tc>
        <w:tc>
          <w:tcPr>
            <w:tcW w:w="1040" w:type="dxa"/>
            <w:vAlign w:val="bottom"/>
            <w:tcBorders>
              <w:top w:val="single" w:sz="8" w:color="005BA5"/>
              <w:bottom w:val="single" w:sz="8" w:color="ACACAC"/>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1,005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expense on operations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1,182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990</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005BA5"/>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005BA5"/>
              <w:bottom w:val="single" w:sz="8" w:color="ACACAC"/>
            </w:tcBorders>
          </w:tcPr>
          <w:p>
            <w:pPr>
              <w:spacing w:after="0"/>
              <w:rPr>
                <w:sz w:val="22"/>
                <w:szCs w:val="22"/>
                <w:color w:val="auto"/>
              </w:rPr>
            </w:pPr>
          </w:p>
        </w:tc>
        <w:tc>
          <w:tcPr>
            <w:tcW w:w="1060" w:type="dxa"/>
            <w:vAlign w:val="bottom"/>
            <w:tcBorders>
              <w:top w:val="single" w:sz="8" w:color="005BA5"/>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005BA5"/>
              <w:bottom w:val="single" w:sz="8" w:color="ACACAC"/>
            </w:tcBorders>
          </w:tcPr>
          <w:p>
            <w:pPr>
              <w:spacing w:after="0"/>
              <w:rPr>
                <w:sz w:val="22"/>
                <w:szCs w:val="22"/>
                <w:color w:val="auto"/>
              </w:rPr>
            </w:pPr>
          </w:p>
        </w:tc>
        <w:tc>
          <w:tcPr>
            <w:tcW w:w="1040" w:type="dxa"/>
            <w:vAlign w:val="bottom"/>
            <w:tcBorders>
              <w:top w:val="single" w:sz="8" w:color="005BA5"/>
              <w:bottom w:val="single" w:sz="8" w:color="ACACAC"/>
            </w:tcBorders>
          </w:tcPr>
          <w:p>
            <w:pPr>
              <w:spacing w:after="0"/>
              <w:rPr>
                <w:sz w:val="22"/>
                <w:szCs w:val="22"/>
                <w:color w:val="auto"/>
              </w:rPr>
            </w:pPr>
          </w:p>
        </w:tc>
      </w:tr>
      <w:tr>
        <w:trPr>
          <w:trHeight w:val="250"/>
        </w:trPr>
        <w:tc>
          <w:tcPr>
            <w:tcW w:w="8580" w:type="dxa"/>
            <w:vAlign w:val="bottom"/>
            <w:gridSpan w:val="2"/>
          </w:tcPr>
          <w:p>
            <w:pPr>
              <w:ind w:left="40"/>
              <w:spacing w:after="0" w:line="250" w:lineRule="exact"/>
              <w:rPr>
                <w:sz w:val="20"/>
                <w:szCs w:val="20"/>
                <w:color w:val="auto"/>
              </w:rPr>
            </w:pPr>
            <w:r>
              <w:rPr>
                <w:rFonts w:ascii="Arial" w:cs="Arial" w:eastAsia="Arial" w:hAnsi="Arial"/>
                <w:sz w:val="16"/>
                <w:szCs w:val="16"/>
                <w:color w:val="auto"/>
              </w:rPr>
              <w:t xml:space="preserve">Catastrophe losses </w:t>
            </w:r>
            <w:r>
              <w:rPr>
                <w:rFonts w:ascii="Arial" w:cs="Arial" w:eastAsia="Arial" w:hAnsi="Arial"/>
                <w:sz w:val="27"/>
                <w:szCs w:val="27"/>
                <w:color w:val="005BA5"/>
                <w:vertAlign w:val="superscript"/>
              </w:rPr>
              <w:t>(1)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1"/>
                <w:szCs w:val="21"/>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361</w:t>
            </w:r>
          </w:p>
        </w:tc>
      </w:tr>
      <w:tr>
        <w:trPr>
          <w:trHeight w:val="264"/>
        </w:trPr>
        <w:tc>
          <w:tcPr>
            <w:tcW w:w="846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6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40" w:type="dxa"/>
            <w:vAlign w:val="bottom"/>
            <w:tcBorders>
              <w:top w:val="single" w:sz="8" w:color="ACACAC"/>
              <w:bottom w:val="single" w:sz="8" w:color="ACACAC"/>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GAAP operating ratios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Claims and claims expense ratio</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62.9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005BA5"/>
            </w:tcBorders>
          </w:tcPr>
          <w:p>
            <w:pPr>
              <w:ind w:left="40"/>
              <w:spacing w:after="0" w:line="250" w:lineRule="exact"/>
              <w:rPr>
                <w:sz w:val="20"/>
                <w:szCs w:val="20"/>
                <w:color w:val="auto"/>
              </w:rPr>
            </w:pPr>
            <w:r>
              <w:rPr>
                <w:rFonts w:ascii="Arial" w:cs="Arial" w:eastAsia="Arial" w:hAnsi="Arial"/>
                <w:sz w:val="16"/>
                <w:szCs w:val="16"/>
                <w:color w:val="auto"/>
              </w:rPr>
              <w:t xml:space="preserve">Expense ratio </w:t>
            </w:r>
            <w:r>
              <w:rPr>
                <w:rFonts w:ascii="Arial" w:cs="Arial" w:eastAsia="Arial" w:hAnsi="Arial"/>
                <w:sz w:val="23"/>
                <w:szCs w:val="23"/>
                <w:color w:val="005BA5"/>
                <w:vertAlign w:val="superscript"/>
              </w:rPr>
              <w:t>(2)</w:t>
            </w:r>
          </w:p>
        </w:tc>
        <w:tc>
          <w:tcPr>
            <w:tcW w:w="12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4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24.6</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Combined ratio</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Effect of catastrophe losses on combined ratio</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50"/>
        </w:trPr>
        <w:tc>
          <w:tcPr>
            <w:tcW w:w="8460" w:type="dxa"/>
            <w:vAlign w:val="bottom"/>
            <w:tcBorders>
              <w:bottom w:val="single" w:sz="8" w:color="005BA5"/>
            </w:tcBorders>
          </w:tcPr>
          <w:p>
            <w:pPr>
              <w:ind w:left="40"/>
              <w:spacing w:after="0" w:line="250" w:lineRule="exact"/>
              <w:rPr>
                <w:sz w:val="20"/>
                <w:szCs w:val="20"/>
                <w:color w:val="auto"/>
              </w:rPr>
            </w:pPr>
            <w:r>
              <w:rPr>
                <w:rFonts w:ascii="Arial" w:cs="Arial" w:eastAsia="Arial" w:hAnsi="Arial"/>
                <w:sz w:val="16"/>
                <w:szCs w:val="16"/>
                <w:color w:val="auto"/>
              </w:rPr>
              <w:t xml:space="preserve">Effect of prior year reserve reestimates on combined ratio </w:t>
            </w:r>
            <w:r>
              <w:rPr>
                <w:rFonts w:ascii="Arial" w:cs="Arial" w:eastAsia="Arial" w:hAnsi="Arial"/>
                <w:sz w:val="23"/>
                <w:szCs w:val="23"/>
                <w:color w:val="005BA5"/>
                <w:vertAlign w:val="superscript"/>
              </w:rPr>
              <w:t>(3)</w:t>
            </w:r>
          </w:p>
        </w:tc>
        <w:tc>
          <w:tcPr>
            <w:tcW w:w="12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4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(0.6)</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Effect of catastrophe losses included in prior year reserve reestimates on combined ratio</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Effect of restructuring and related charges on combined ratio</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Effect of Discontinued Lines and Coverages on combined ratio</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ind w:left="280" w:right="60" w:hanging="191"/>
        <w:spacing w:after="0" w:line="218" w:lineRule="auto"/>
        <w:tabs>
          <w:tab w:leader="none" w:pos="280" w:val="left"/>
        </w:tabs>
        <w:numPr>
          <w:ilvl w:val="0"/>
          <w:numId w:val="30"/>
        </w:numPr>
        <w:rPr>
          <w:rFonts w:ascii="Arial" w:cs="Arial" w:eastAsia="Arial" w:hAnsi="Arial"/>
          <w:sz w:val="23"/>
          <w:szCs w:val="23"/>
          <w:color w:val="005BA5"/>
          <w:vertAlign w:val="superscript"/>
        </w:rPr>
      </w:pPr>
      <w:r>
        <w:rPr>
          <w:rFonts w:ascii="Arial" w:cs="Arial" w:eastAsia="Arial" w:hAnsi="Arial"/>
          <w:sz w:val="14"/>
          <w:szCs w:val="14"/>
          <w:color w:val="auto"/>
        </w:rPr>
        <w:t>Prior year reserve reestimates included in catastrophe losses totaled $53 million unfavorable in the three months ended March 31, 2019, including $15 million of reinstatement reinsurance premiums incurred during the period related to the 2018 Camp Fire. Prior year reserve reestimates included in catastrophe losses totaled $4 million unfavorable in the three months ended March 31, 2018.</w:t>
      </w:r>
    </w:p>
    <w:p>
      <w:pPr>
        <w:spacing w:after="0" w:line="19" w:lineRule="exact"/>
        <w:rPr>
          <w:rFonts w:ascii="Arial" w:cs="Arial" w:eastAsia="Arial" w:hAnsi="Arial"/>
          <w:sz w:val="23"/>
          <w:szCs w:val="23"/>
          <w:color w:val="005BA5"/>
          <w:vertAlign w:val="superscript"/>
        </w:rPr>
      </w:pPr>
    </w:p>
    <w:p>
      <w:pPr>
        <w:ind w:left="280" w:hanging="191"/>
        <w:spacing w:after="0"/>
        <w:tabs>
          <w:tab w:leader="none" w:pos="280" w:val="left"/>
        </w:tabs>
        <w:numPr>
          <w:ilvl w:val="0"/>
          <w:numId w:val="30"/>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operating costs and expenses in the expense ratio calculation.</w:t>
      </w:r>
    </w:p>
    <w:p>
      <w:pPr>
        <w:spacing w:after="0" w:line="97" w:lineRule="exact"/>
        <w:rPr>
          <w:rFonts w:ascii="Arial" w:cs="Arial" w:eastAsia="Arial" w:hAnsi="Arial"/>
          <w:sz w:val="23"/>
          <w:szCs w:val="23"/>
          <w:color w:val="005BA5"/>
          <w:vertAlign w:val="superscript"/>
        </w:rPr>
      </w:pPr>
    </w:p>
    <w:p>
      <w:pPr>
        <w:ind w:left="280" w:hanging="191"/>
        <w:spacing w:after="0" w:line="199" w:lineRule="auto"/>
        <w:tabs>
          <w:tab w:leader="none" w:pos="280" w:val="left"/>
        </w:tabs>
        <w:numPr>
          <w:ilvl w:val="0"/>
          <w:numId w:val="30"/>
        </w:numPr>
        <w:rPr>
          <w:rFonts w:ascii="Arial" w:cs="Arial" w:eastAsia="Arial" w:hAnsi="Arial"/>
          <w:sz w:val="18"/>
          <w:szCs w:val="18"/>
          <w:color w:val="005BA5"/>
          <w:vertAlign w:val="superscript"/>
        </w:rPr>
      </w:pPr>
      <w:r>
        <w:rPr>
          <w:rFonts w:ascii="Arial" w:cs="Arial" w:eastAsia="Arial" w:hAnsi="Arial"/>
          <w:sz w:val="12"/>
          <w:szCs w:val="12"/>
          <w:color w:val="auto"/>
        </w:rPr>
        <w:t>Prior year reserve reestimates totaled $12 million unfavorable and $51 million favorable in the three months ended March 31, 2019 and 2018, respectively.</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52 </w:t>
      </w:r>
      <w:r>
        <w:rPr>
          <w:sz w:val="1"/>
          <w:szCs w:val="1"/>
          <w:color w:val="auto"/>
        </w:rPr>
        <w:drawing>
          <wp:inline distT="0" distB="0" distL="0" distR="0">
            <wp:extent cx="111760" cy="1117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56" w:name="page57"/>
    <w:bookmarkEnd w:id="56"/>
    <w:p>
      <w:pPr>
        <w:ind w:left="9380"/>
        <w:spacing w:after="0"/>
        <w:rPr>
          <w:sz w:val="20"/>
          <w:szCs w:val="20"/>
          <w:color w:val="auto"/>
        </w:rPr>
      </w:pPr>
      <w:r>
        <w:rPr>
          <w:rFonts w:ascii="Arial" w:cs="Arial" w:eastAsia="Arial" w:hAnsi="Arial"/>
          <w:sz w:val="16"/>
          <w:szCs w:val="16"/>
          <w:color w:val="005BA5"/>
        </w:rPr>
        <w:t>Property-Liability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60" w:firstLine="324"/>
        <w:spacing w:after="0" w:line="266" w:lineRule="auto"/>
        <w:rPr>
          <w:sz w:val="20"/>
          <w:szCs w:val="20"/>
          <w:color w:val="auto"/>
        </w:rPr>
      </w:pPr>
      <w:r>
        <w:rPr>
          <w:rFonts w:ascii="Arial" w:cs="Arial" w:eastAsia="Arial" w:hAnsi="Arial"/>
          <w:sz w:val="16"/>
          <w:szCs w:val="16"/>
          <w:b w:val="1"/>
          <w:bCs w:val="1"/>
          <w:color w:val="1666AF"/>
        </w:rPr>
        <w:t xml:space="preserve">Net investment income </w:t>
      </w:r>
      <w:r>
        <w:rPr>
          <w:rFonts w:ascii="Arial" w:cs="Arial" w:eastAsia="Arial" w:hAnsi="Arial"/>
          <w:sz w:val="16"/>
          <w:szCs w:val="16"/>
          <w:color w:val="000000"/>
        </w:rPr>
        <w:t>decreased 13.6% or $46 million to $291 million in the first quarter of 2019 from $337 million in the first quarter of 2018, due to</w:t>
      </w:r>
      <w:r>
        <w:rPr>
          <w:rFonts w:ascii="Arial" w:cs="Arial" w:eastAsia="Arial" w:hAnsi="Arial"/>
          <w:sz w:val="16"/>
          <w:szCs w:val="16"/>
          <w:b w:val="1"/>
          <w:bCs w:val="1"/>
          <w:color w:val="1666AF"/>
        </w:rPr>
        <w:t xml:space="preserve"> </w:t>
      </w:r>
      <w:r>
        <w:rPr>
          <w:rFonts w:ascii="Arial" w:cs="Arial" w:eastAsia="Arial" w:hAnsi="Arial"/>
          <w:sz w:val="16"/>
          <w:szCs w:val="16"/>
          <w:color w:val="000000"/>
        </w:rPr>
        <w:t>lower performance-based investment results, primarily from limited partnerships, partially offset by higher market-based portfolio income. Performance-based results reflect lower asset appreciation related to private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Fixed income securities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Equity securities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Mortgage loans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Limited partnership interests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Investment income, before expense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005BA5"/>
            </w:tcBorders>
          </w:tcPr>
          <w:p>
            <w:pPr>
              <w:ind w:left="40"/>
              <w:spacing w:after="0" w:line="250" w:lineRule="exact"/>
              <w:rPr>
                <w:sz w:val="20"/>
                <w:szCs w:val="20"/>
                <w:color w:val="auto"/>
              </w:rPr>
            </w:pPr>
            <w:r>
              <w:rPr>
                <w:rFonts w:ascii="Arial" w:cs="Arial" w:eastAsia="Arial" w:hAnsi="Arial"/>
                <w:sz w:val="16"/>
                <w:szCs w:val="16"/>
                <w:color w:val="auto"/>
              </w:rPr>
              <w:t xml:space="preserve">Investment expense </w:t>
            </w:r>
            <w:r>
              <w:rPr>
                <w:rFonts w:ascii="Arial" w:cs="Arial" w:eastAsia="Arial" w:hAnsi="Arial"/>
                <w:sz w:val="27"/>
                <w:szCs w:val="27"/>
                <w:color w:val="005BA5"/>
                <w:vertAlign w:val="superscript"/>
              </w:rPr>
              <w:t>(1) (2)</w:t>
            </w:r>
          </w:p>
        </w:tc>
        <w:tc>
          <w:tcPr>
            <w:tcW w:w="12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4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(39)</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investment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291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ind w:left="280" w:right="320" w:hanging="191"/>
        <w:spacing w:after="0" w:line="201" w:lineRule="auto"/>
        <w:tabs>
          <w:tab w:leader="none" w:pos="280" w:val="left"/>
        </w:tabs>
        <w:numPr>
          <w:ilvl w:val="0"/>
          <w:numId w:val="31"/>
        </w:numPr>
        <w:rPr>
          <w:rFonts w:ascii="Arial" w:cs="Arial" w:eastAsia="Arial" w:hAnsi="Arial"/>
          <w:sz w:val="23"/>
          <w:szCs w:val="23"/>
          <w:color w:val="005BA5"/>
          <w:vertAlign w:val="superscript"/>
        </w:rPr>
      </w:pPr>
      <w:r>
        <w:rPr>
          <w:rFonts w:ascii="Arial" w:cs="Arial" w:eastAsia="Arial" w:hAnsi="Arial"/>
          <w:sz w:val="14"/>
          <w:szCs w:val="14"/>
          <w:color w:val="auto"/>
        </w:rPr>
        <w:t>Investment expense includes $13 million of investee level expenses in both the first quarter of 2019 and 2018. Investee level expenses include depreciation and asset level operating expenses on directly held real estate and other consolidated investments.</w:t>
      </w:r>
    </w:p>
    <w:p>
      <w:pPr>
        <w:spacing w:after="0" w:line="35" w:lineRule="exact"/>
        <w:rPr>
          <w:rFonts w:ascii="Arial" w:cs="Arial" w:eastAsia="Arial" w:hAnsi="Arial"/>
          <w:sz w:val="23"/>
          <w:szCs w:val="23"/>
          <w:color w:val="005BA5"/>
          <w:vertAlign w:val="superscript"/>
        </w:rPr>
      </w:pPr>
    </w:p>
    <w:p>
      <w:pPr>
        <w:ind w:left="280" w:right="60" w:hanging="191"/>
        <w:spacing w:after="0" w:line="201" w:lineRule="auto"/>
        <w:tabs>
          <w:tab w:leader="none" w:pos="280" w:val="left"/>
        </w:tabs>
        <w:numPr>
          <w:ilvl w:val="0"/>
          <w:numId w:val="31"/>
        </w:numPr>
        <w:rPr>
          <w:rFonts w:ascii="Arial" w:cs="Arial" w:eastAsia="Arial" w:hAnsi="Arial"/>
          <w:sz w:val="23"/>
          <w:szCs w:val="23"/>
          <w:color w:val="005BA5"/>
          <w:vertAlign w:val="superscript"/>
        </w:rPr>
      </w:pPr>
      <w:r>
        <w:rPr>
          <w:rFonts w:ascii="Arial" w:cs="Arial" w:eastAsia="Arial" w:hAnsi="Arial"/>
          <w:sz w:val="14"/>
          <w:szCs w:val="14"/>
          <w:color w:val="auto"/>
        </w:rPr>
        <w:t>Investment expense includes $7 million and $2 million related to the portion of reinvestment income on securities lending collateral paid to the counterparties in the first quarter of 2019 and 2018, respectively.</w:t>
      </w:r>
    </w:p>
    <w:p>
      <w:pPr>
        <w:spacing w:after="0" w:line="90"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b w:val="1"/>
          <w:bCs w:val="1"/>
          <w:color w:val="1666AF"/>
        </w:rPr>
        <w:t xml:space="preserve">Realized capital gains and losses </w:t>
      </w:r>
      <w:r>
        <w:rPr>
          <w:rFonts w:ascii="Arial" w:cs="Arial" w:eastAsia="Arial" w:hAnsi="Arial"/>
          <w:sz w:val="16"/>
          <w:szCs w:val="16"/>
          <w:color w:val="000000"/>
        </w:rPr>
        <w:t>Net realized capital gains in the first quarter of 2019 related primarily to increased valuation of equity investments and</w:t>
      </w:r>
      <w:r>
        <w:rPr>
          <w:rFonts w:ascii="Arial" w:cs="Arial" w:eastAsia="Arial" w:hAnsi="Arial"/>
          <w:sz w:val="16"/>
          <w:szCs w:val="16"/>
          <w:b w:val="1"/>
          <w:bCs w:val="1"/>
          <w:color w:val="1666AF"/>
        </w:rPr>
        <w:t xml:space="preserve"> </w:t>
      </w:r>
      <w:r>
        <w:rPr>
          <w:rFonts w:ascii="Arial" w:cs="Arial" w:eastAsia="Arial" w:hAnsi="Arial"/>
          <w:sz w:val="16"/>
          <w:szCs w:val="16"/>
          <w:color w:val="000000"/>
        </w:rPr>
        <w:t>gains on sales of fixed income securities and investments in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Realized capital gains and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Impairment write-downs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Change in intent write-downs</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OTTI losses recognized in earnings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Sales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Valuation of equity investments </w:t>
            </w:r>
            <w:r>
              <w:rPr>
                <w:rFonts w:ascii="Arial" w:cs="Arial" w:eastAsia="Arial" w:hAnsi="Arial"/>
                <w:sz w:val="23"/>
                <w:szCs w:val="23"/>
                <w:color w:val="005BA5"/>
                <w:vertAlign w:val="superscript"/>
              </w:rPr>
              <w:t>(1)</w:t>
            </w:r>
          </w:p>
        </w:tc>
        <w:tc>
          <w:tcPr>
            <w:tcW w:w="12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453</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(55)</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Valuation and settlements of derivative instruments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pre-tax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Realized capital gains and losses, after-tax</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393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p>
      <w:pPr>
        <w:ind w:left="280" w:right="220" w:hanging="191"/>
        <w:spacing w:after="0" w:line="201" w:lineRule="auto"/>
        <w:tabs>
          <w:tab w:leader="none" w:pos="280" w:val="left"/>
        </w:tabs>
        <w:numPr>
          <w:ilvl w:val="0"/>
          <w:numId w:val="32"/>
        </w:numPr>
        <w:rPr>
          <w:rFonts w:ascii="Arial" w:cs="Arial" w:eastAsia="Arial" w:hAnsi="Arial"/>
          <w:sz w:val="23"/>
          <w:szCs w:val="23"/>
          <w:color w:val="005BA5"/>
          <w:vertAlign w:val="superscript"/>
        </w:rPr>
      </w:pPr>
      <w:r>
        <w:rPr>
          <w:rFonts w:ascii="Arial" w:cs="Arial" w:eastAsia="Arial" w:hAnsi="Arial"/>
          <w:sz w:val="14"/>
          <w:szCs w:val="14"/>
          <w:color w:val="auto"/>
        </w:rPr>
        <w:t>2019 results include $390 million of appreciation of equity securities and $63 million of appreciation primarily related to certain limited partnerships where the underlying assets are predominately public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53</w:t>
      </w:r>
    </w:p>
    <w:p>
      <w:pPr>
        <w:sectPr>
          <w:pgSz w:w="11900" w:h="16838" w:orient="portrait"/>
          <w:cols w:equalWidth="0" w:num="1">
            <w:col w:w="11420"/>
          </w:cols>
          <w:pgMar w:left="240" w:top="141"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color w:val="005BA5"/>
        </w:rPr>
        <w:t xml:space="preserve">Segment Results </w:t>
      </w:r>
      <w:r>
        <w:rPr>
          <w:rFonts w:ascii="Arial" w:cs="Arial" w:eastAsia="Arial" w:hAnsi="Arial"/>
          <w:sz w:val="16"/>
          <w:szCs w:val="16"/>
          <w:color w:val="000000"/>
        </w:rPr>
        <w:t>Allstate Protection</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Allstate Protection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 written</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8,327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7,844</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 earned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8,507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8,019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Claims and claims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(5,035)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DAC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(1,044)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Restructuring and related charges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703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1,008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Catastrophe losses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361</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005BA5"/>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005BA5"/>
              <w:bottom w:val="single" w:sz="8" w:color="auto"/>
            </w:tcBorders>
          </w:tcPr>
          <w:p>
            <w:pPr>
              <w:spacing w:after="0"/>
              <w:rPr>
                <w:sz w:val="22"/>
                <w:szCs w:val="22"/>
                <w:color w:val="auto"/>
              </w:rPr>
            </w:pPr>
          </w:p>
        </w:tc>
        <w:tc>
          <w:tcPr>
            <w:tcW w:w="1060" w:type="dxa"/>
            <w:vAlign w:val="bottom"/>
            <w:tcBorders>
              <w:top w:val="single" w:sz="8" w:color="005BA5"/>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005BA5"/>
              <w:bottom w:val="single" w:sz="8" w:color="auto"/>
            </w:tcBorders>
          </w:tcPr>
          <w:p>
            <w:pPr>
              <w:spacing w:after="0"/>
              <w:rPr>
                <w:sz w:val="22"/>
                <w:szCs w:val="22"/>
                <w:color w:val="auto"/>
              </w:rPr>
            </w:pPr>
          </w:p>
        </w:tc>
        <w:tc>
          <w:tcPr>
            <w:tcW w:w="1040" w:type="dxa"/>
            <w:vAlign w:val="bottom"/>
            <w:tcBorders>
              <w:top w:val="single" w:sz="8" w:color="005BA5"/>
              <w:bottom w:val="single" w:sz="8" w:color="auto"/>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 (loss) by line of business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Other personal lines </w:t>
            </w:r>
            <w:r>
              <w:rPr>
                <w:rFonts w:ascii="Arial" w:cs="Arial" w:eastAsia="Arial" w:hAnsi="Arial"/>
                <w:sz w:val="27"/>
                <w:szCs w:val="27"/>
                <w:color w:val="005BA5"/>
                <w:vertAlign w:val="superscript"/>
              </w:rPr>
              <w:t>(1)</w:t>
            </w:r>
          </w:p>
        </w:tc>
        <w:tc>
          <w:tcPr>
            <w:tcW w:w="12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50</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Commercial lines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Other business lines </w:t>
            </w:r>
            <w:r>
              <w:rPr>
                <w:rFonts w:ascii="Arial" w:cs="Arial" w:eastAsia="Arial" w:hAnsi="Arial"/>
                <w:sz w:val="27"/>
                <w:szCs w:val="27"/>
                <w:color w:val="005BA5"/>
                <w:vertAlign w:val="superscript"/>
              </w:rPr>
              <w:t>(2)</w:t>
            </w:r>
          </w:p>
        </w:tc>
        <w:tc>
          <w:tcPr>
            <w:tcW w:w="12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8</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Answer Financial</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703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1,008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1" w:lineRule="exact"/>
        <w:rPr>
          <w:sz w:val="20"/>
          <w:szCs w:val="20"/>
          <w:color w:val="auto"/>
        </w:rPr>
      </w:pPr>
    </w:p>
    <w:p>
      <w:pPr>
        <w:ind w:left="280" w:hanging="191"/>
        <w:spacing w:after="0"/>
        <w:tabs>
          <w:tab w:leader="none" w:pos="280" w:val="left"/>
        </w:tabs>
        <w:numPr>
          <w:ilvl w:val="0"/>
          <w:numId w:val="33"/>
        </w:numPr>
        <w:rPr>
          <w:rFonts w:ascii="Arial" w:cs="Arial" w:eastAsia="Arial" w:hAnsi="Arial"/>
          <w:sz w:val="23"/>
          <w:szCs w:val="23"/>
          <w:color w:val="005BA5"/>
          <w:vertAlign w:val="superscript"/>
        </w:rPr>
      </w:pPr>
      <w:r>
        <w:rPr>
          <w:rFonts w:ascii="Arial" w:cs="Arial" w:eastAsia="Arial" w:hAnsi="Arial"/>
          <w:sz w:val="14"/>
          <w:szCs w:val="14"/>
          <w:color w:val="auto"/>
        </w:rPr>
        <w:t>Other personal lines include renters, condominium, landlord and other personal lines products.</w:t>
      </w:r>
    </w:p>
    <w:p>
      <w:pPr>
        <w:spacing w:after="0" w:line="43" w:lineRule="exact"/>
        <w:rPr>
          <w:rFonts w:ascii="Arial" w:cs="Arial" w:eastAsia="Arial" w:hAnsi="Arial"/>
          <w:sz w:val="23"/>
          <w:szCs w:val="23"/>
          <w:color w:val="005BA5"/>
          <w:vertAlign w:val="superscript"/>
        </w:rPr>
      </w:pPr>
    </w:p>
    <w:p>
      <w:pPr>
        <w:ind w:left="280" w:right="180" w:hanging="191"/>
        <w:spacing w:after="0" w:line="188" w:lineRule="auto"/>
        <w:tabs>
          <w:tab w:leader="none" w:pos="280" w:val="left"/>
        </w:tabs>
        <w:numPr>
          <w:ilvl w:val="0"/>
          <w:numId w:val="33"/>
        </w:numPr>
        <w:rPr>
          <w:rFonts w:ascii="Arial" w:cs="Arial" w:eastAsia="Arial" w:hAnsi="Arial"/>
          <w:sz w:val="23"/>
          <w:szCs w:val="23"/>
          <w:color w:val="005BA5"/>
          <w:vertAlign w:val="superscript"/>
        </w:rPr>
      </w:pPr>
      <w:r>
        <w:rPr>
          <w:rFonts w:ascii="Arial" w:cs="Arial" w:eastAsia="Arial" w:hAnsi="Arial"/>
          <w:sz w:val="14"/>
          <w:szCs w:val="14"/>
          <w:color w:val="auto"/>
        </w:rPr>
        <w:t>Other business lines represent Ivantage, a general agency for Allstate exclusive agencies. Ivantage provides agencies a solution for their customers when coverage through Allstate brand underwritten products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Changes in underwriting results from prior year by component and by line of business </w:t>
      </w:r>
      <w:r>
        <w:rPr>
          <w:rFonts w:ascii="Arial" w:cs="Arial" w:eastAsia="Arial" w:hAnsi="Arial"/>
          <w:sz w:val="23"/>
          <w:szCs w:val="23"/>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0"/>
          <w:szCs w:val="20"/>
          <w:color w:val="auto"/>
        </w:rPr>
      </w:pPr>
    </w:p>
    <w:p>
      <w:pPr>
        <w:ind w:left="64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26035</wp:posOffset>
            </wp:positionV>
            <wp:extent cx="49911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9110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Auto</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5"/>
            <w:vMerge w:val="restart"/>
          </w:tcPr>
          <w:p>
            <w:pPr>
              <w:ind w:left="160"/>
              <w:spacing w:after="0"/>
              <w:rPr>
                <w:sz w:val="20"/>
                <w:szCs w:val="20"/>
                <w:color w:val="auto"/>
              </w:rPr>
            </w:pPr>
            <w:r>
              <w:rPr>
                <w:rFonts w:ascii="Arial" w:cs="Arial" w:eastAsia="Arial" w:hAnsi="Arial"/>
                <w:sz w:val="16"/>
                <w:szCs w:val="16"/>
                <w:b w:val="1"/>
                <w:bCs w:val="1"/>
                <w:color w:val="auto"/>
              </w:rPr>
              <w:t>Homeowners</w:t>
            </w:r>
          </w:p>
        </w:tc>
        <w:tc>
          <w:tcPr>
            <w:tcW w:w="1580" w:type="dxa"/>
            <w:vAlign w:val="bottom"/>
            <w:gridSpan w:val="6"/>
            <w:vMerge w:val="restart"/>
          </w:tcPr>
          <w:p>
            <w:pPr>
              <w:ind w:left="40"/>
              <w:spacing w:after="0"/>
              <w:rPr>
                <w:sz w:val="20"/>
                <w:szCs w:val="20"/>
                <w:color w:val="auto"/>
              </w:rPr>
            </w:pPr>
            <w:r>
              <w:rPr>
                <w:rFonts w:ascii="Arial" w:cs="Arial" w:eastAsia="Arial" w:hAnsi="Arial"/>
                <w:sz w:val="16"/>
                <w:szCs w:val="16"/>
                <w:b w:val="1"/>
                <w:bCs w:val="1"/>
                <w:color w:val="auto"/>
                <w:w w:val="98"/>
              </w:rPr>
              <w:t>Other personal lines</w:t>
            </w:r>
          </w:p>
        </w:tc>
        <w:tc>
          <w:tcPr>
            <w:tcW w:w="120" w:type="dxa"/>
            <w:vAlign w:val="bottom"/>
          </w:tcPr>
          <w:p>
            <w:pPr>
              <w:spacing w:after="0"/>
              <w:rPr>
                <w:sz w:val="17"/>
                <w:szCs w:val="17"/>
                <w:color w:val="auto"/>
              </w:rPr>
            </w:pPr>
          </w:p>
        </w:tc>
        <w:tc>
          <w:tcPr>
            <w:tcW w:w="142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rPr>
              <w:t>Commercial lines</w:t>
            </w:r>
          </w:p>
        </w:tc>
        <w:tc>
          <w:tcPr>
            <w:tcW w:w="144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Allstate Protection</w:t>
            </w:r>
          </w:p>
        </w:tc>
        <w:tc>
          <w:tcPr>
            <w:tcW w:w="0" w:type="dxa"/>
            <w:vAlign w:val="bottom"/>
          </w:tcPr>
          <w:p>
            <w:pPr>
              <w:spacing w:after="0"/>
              <w:rPr>
                <w:sz w:val="1"/>
                <w:szCs w:val="1"/>
                <w:color w:val="auto"/>
              </w:rPr>
            </w:pPr>
          </w:p>
        </w:tc>
      </w:tr>
      <w:tr>
        <w:trPr>
          <w:trHeight w:val="172"/>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vMerge w:val="continue"/>
          </w:tcPr>
          <w:p>
            <w:pPr>
              <w:spacing w:after="0"/>
              <w:rPr>
                <w:sz w:val="14"/>
                <w:szCs w:val="14"/>
                <w:color w:val="auto"/>
              </w:rPr>
            </w:pPr>
          </w:p>
        </w:tc>
        <w:tc>
          <w:tcPr>
            <w:tcW w:w="158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gridSpan w:val="3"/>
          </w:tcPr>
          <w:p>
            <w:pPr>
              <w:jc w:val="right"/>
              <w:ind w:right="100"/>
              <w:spacing w:after="0"/>
              <w:rPr>
                <w:sz w:val="20"/>
                <w:szCs w:val="20"/>
                <w:color w:val="auto"/>
              </w:rPr>
            </w:pPr>
            <w:r>
              <w:rPr>
                <w:rFonts w:ascii="Arial" w:cs="Arial" w:eastAsia="Arial" w:hAnsi="Arial"/>
                <w:sz w:val="14"/>
                <w:szCs w:val="14"/>
                <w:color w:val="005BA5"/>
                <w:w w:val="93"/>
              </w:rPr>
              <w:t>(2)</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356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44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2"/>
                <w:szCs w:val="22"/>
                <w:color w:val="auto"/>
              </w:rPr>
            </w:pPr>
          </w:p>
        </w:tc>
        <w:tc>
          <w:tcPr>
            <w:tcW w:w="140" w:type="dxa"/>
            <w:vAlign w:val="bottom"/>
            <w:tcBorders>
              <w:bottom w:val="single" w:sz="8" w:color="005BA5"/>
            </w:tcBorders>
          </w:tcPr>
          <w:p>
            <w:pPr>
              <w:spacing w:after="0"/>
              <w:rPr>
                <w:sz w:val="22"/>
                <w:szCs w:val="22"/>
                <w:color w:val="auto"/>
              </w:rPr>
            </w:pPr>
          </w:p>
        </w:tc>
        <w:tc>
          <w:tcPr>
            <w:tcW w:w="560" w:type="dxa"/>
            <w:vAlign w:val="bottom"/>
            <w:tcBorders>
              <w:bottom w:val="single" w:sz="8" w:color="005BA5"/>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160" w:type="dxa"/>
            <w:vAlign w:val="bottom"/>
            <w:tcBorders>
              <w:bottom w:val="single" w:sz="8" w:color="005BA5"/>
            </w:tcBorders>
          </w:tcPr>
          <w:p>
            <w:pPr>
              <w:spacing w:after="0"/>
              <w:rPr>
                <w:sz w:val="22"/>
                <w:szCs w:val="22"/>
                <w:color w:val="auto"/>
              </w:rPr>
            </w:pPr>
          </w:p>
        </w:tc>
        <w:tc>
          <w:tcPr>
            <w:tcW w:w="540" w:type="dxa"/>
            <w:vAlign w:val="bottom"/>
            <w:tcBorders>
              <w:bottom w:val="single" w:sz="8" w:color="005BA5"/>
            </w:tcBorders>
          </w:tcPr>
          <w:p>
            <w:pPr>
              <w:jc w:val="right"/>
              <w:ind w:right="9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2"/>
                <w:szCs w:val="22"/>
                <w:color w:val="auto"/>
              </w:rPr>
            </w:pPr>
          </w:p>
        </w:tc>
        <w:tc>
          <w:tcPr>
            <w:tcW w:w="160" w:type="dxa"/>
            <w:vAlign w:val="bottom"/>
            <w:tcBorders>
              <w:bottom w:val="single" w:sz="8" w:color="005BA5"/>
            </w:tcBorders>
          </w:tcPr>
          <w:p>
            <w:pPr>
              <w:spacing w:after="0"/>
              <w:rPr>
                <w:sz w:val="22"/>
                <w:szCs w:val="22"/>
                <w:color w:val="auto"/>
              </w:rPr>
            </w:pPr>
          </w:p>
        </w:tc>
        <w:tc>
          <w:tcPr>
            <w:tcW w:w="540" w:type="dxa"/>
            <w:vAlign w:val="bottom"/>
            <w:tcBorders>
              <w:bottom w:val="single" w:sz="8" w:color="005BA5"/>
            </w:tcBorders>
          </w:tcPr>
          <w:p>
            <w:pPr>
              <w:jc w:val="right"/>
              <w:ind w:right="99"/>
              <w:spacing w:after="0"/>
              <w:rPr>
                <w:sz w:val="20"/>
                <w:szCs w:val="20"/>
                <w:color w:val="auto"/>
              </w:rPr>
            </w:pPr>
            <w:r>
              <w:rPr>
                <w:rFonts w:ascii="Arial" w:cs="Arial" w:eastAsia="Arial" w:hAnsi="Arial"/>
                <w:sz w:val="16"/>
                <w:szCs w:val="16"/>
                <w:b w:val="1"/>
                <w:bCs w:val="1"/>
                <w:color w:val="auto"/>
                <w:w w:val="95"/>
              </w:rPr>
              <w:t>2019</w:t>
            </w:r>
          </w:p>
        </w:tc>
        <w:tc>
          <w:tcPr>
            <w:tcW w:w="140" w:type="dxa"/>
            <w:vAlign w:val="bottom"/>
          </w:tcPr>
          <w:p>
            <w:pPr>
              <w:spacing w:after="0"/>
              <w:rPr>
                <w:sz w:val="22"/>
                <w:szCs w:val="22"/>
                <w:color w:val="auto"/>
              </w:rPr>
            </w:pPr>
          </w:p>
        </w:tc>
        <w:tc>
          <w:tcPr>
            <w:tcW w:w="140" w:type="dxa"/>
            <w:vAlign w:val="bottom"/>
            <w:tcBorders>
              <w:bottom w:val="single" w:sz="8" w:color="005BA5"/>
            </w:tcBorders>
          </w:tcPr>
          <w:p>
            <w:pPr>
              <w:spacing w:after="0"/>
              <w:rPr>
                <w:sz w:val="22"/>
                <w:szCs w:val="22"/>
                <w:color w:val="auto"/>
              </w:rPr>
            </w:pPr>
          </w:p>
        </w:tc>
        <w:tc>
          <w:tcPr>
            <w:tcW w:w="560" w:type="dxa"/>
            <w:vAlign w:val="bottom"/>
            <w:tcBorders>
              <w:bottom w:val="single" w:sz="8" w:color="005BA5"/>
            </w:tcBorders>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22"/>
                <w:szCs w:val="22"/>
                <w:color w:val="auto"/>
              </w:rPr>
            </w:pPr>
          </w:p>
        </w:tc>
        <w:tc>
          <w:tcPr>
            <w:tcW w:w="140" w:type="dxa"/>
            <w:vAlign w:val="bottom"/>
            <w:tcBorders>
              <w:bottom w:val="single" w:sz="8" w:color="005BA5"/>
            </w:tcBorders>
          </w:tcPr>
          <w:p>
            <w:pPr>
              <w:spacing w:after="0"/>
              <w:rPr>
                <w:sz w:val="22"/>
                <w:szCs w:val="22"/>
                <w:color w:val="auto"/>
              </w:rPr>
            </w:pPr>
          </w:p>
        </w:tc>
        <w:tc>
          <w:tcPr>
            <w:tcW w:w="560" w:type="dxa"/>
            <w:vAlign w:val="bottom"/>
            <w:tcBorders>
              <w:bottom w:val="single" w:sz="8" w:color="005BA5"/>
            </w:tcBorders>
          </w:tcPr>
          <w:p>
            <w:pPr>
              <w:jc w:val="right"/>
              <w:ind w:right="119"/>
              <w:spacing w:after="0"/>
              <w:rPr>
                <w:sz w:val="20"/>
                <w:szCs w:val="20"/>
                <w:color w:val="auto"/>
              </w:rPr>
            </w:pPr>
            <w:r>
              <w:rPr>
                <w:rFonts w:ascii="Arial" w:cs="Arial" w:eastAsia="Arial" w:hAnsi="Arial"/>
                <w:sz w:val="16"/>
                <w:szCs w:val="16"/>
                <w:b w:val="1"/>
                <w:bCs w:val="1"/>
                <w:color w:val="auto"/>
                <w:w w:val="95"/>
              </w:rPr>
              <w:t>2019</w:t>
            </w:r>
          </w:p>
        </w:tc>
        <w:tc>
          <w:tcPr>
            <w:tcW w:w="120" w:type="dxa"/>
            <w:vAlign w:val="bottom"/>
          </w:tcPr>
          <w:p>
            <w:pPr>
              <w:spacing w:after="0"/>
              <w:rPr>
                <w:sz w:val="22"/>
                <w:szCs w:val="22"/>
                <w:color w:val="auto"/>
              </w:rPr>
            </w:pPr>
          </w:p>
        </w:tc>
        <w:tc>
          <w:tcPr>
            <w:tcW w:w="140" w:type="dxa"/>
            <w:vAlign w:val="bottom"/>
            <w:tcBorders>
              <w:bottom w:val="single" w:sz="8" w:color="005BA5"/>
            </w:tcBorders>
          </w:tcPr>
          <w:p>
            <w:pPr>
              <w:spacing w:after="0"/>
              <w:rPr>
                <w:sz w:val="22"/>
                <w:szCs w:val="22"/>
                <w:color w:val="auto"/>
              </w:rPr>
            </w:pPr>
          </w:p>
        </w:tc>
        <w:tc>
          <w:tcPr>
            <w:tcW w:w="520" w:type="dxa"/>
            <w:vAlign w:val="bottom"/>
            <w:tcBorders>
              <w:bottom w:val="single" w:sz="8" w:color="005BA5"/>
            </w:tcBorders>
          </w:tcPr>
          <w:p>
            <w:pPr>
              <w:jc w:val="right"/>
              <w:ind w:right="7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2"/>
                <w:szCs w:val="22"/>
                <w:color w:val="auto"/>
              </w:rPr>
            </w:pPr>
          </w:p>
        </w:tc>
        <w:tc>
          <w:tcPr>
            <w:tcW w:w="120" w:type="dxa"/>
            <w:vAlign w:val="bottom"/>
            <w:tcBorders>
              <w:bottom w:val="single" w:sz="8" w:color="005BA5"/>
            </w:tcBorders>
          </w:tcPr>
          <w:p>
            <w:pPr>
              <w:spacing w:after="0"/>
              <w:rPr>
                <w:sz w:val="22"/>
                <w:szCs w:val="22"/>
                <w:color w:val="auto"/>
              </w:rPr>
            </w:pPr>
          </w:p>
        </w:tc>
        <w:tc>
          <w:tcPr>
            <w:tcW w:w="560" w:type="dxa"/>
            <w:vAlign w:val="bottom"/>
            <w:tcBorders>
              <w:bottom w:val="single" w:sz="8" w:color="005BA5"/>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140" w:type="dxa"/>
            <w:vAlign w:val="bottom"/>
            <w:tcBorders>
              <w:bottom w:val="single" w:sz="8" w:color="005BA5"/>
            </w:tcBorders>
          </w:tcPr>
          <w:p>
            <w:pPr>
              <w:spacing w:after="0"/>
              <w:rPr>
                <w:sz w:val="22"/>
                <w:szCs w:val="22"/>
                <w:color w:val="auto"/>
              </w:rPr>
            </w:pPr>
          </w:p>
        </w:tc>
        <w:tc>
          <w:tcPr>
            <w:tcW w:w="520" w:type="dxa"/>
            <w:vAlign w:val="bottom"/>
            <w:tcBorders>
              <w:bottom w:val="single" w:sz="8" w:color="005BA5"/>
            </w:tcBorders>
          </w:tcPr>
          <w:p>
            <w:pPr>
              <w:jc w:val="right"/>
              <w:ind w:right="7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2"/>
                <w:szCs w:val="22"/>
                <w:color w:val="auto"/>
              </w:rPr>
            </w:pPr>
          </w:p>
        </w:tc>
        <w:tc>
          <w:tcPr>
            <w:tcW w:w="140" w:type="dxa"/>
            <w:vAlign w:val="bottom"/>
            <w:tcBorders>
              <w:bottom w:val="single" w:sz="8" w:color="005BA5"/>
            </w:tcBorders>
          </w:tcPr>
          <w:p>
            <w:pPr>
              <w:spacing w:after="0"/>
              <w:rPr>
                <w:sz w:val="22"/>
                <w:szCs w:val="22"/>
                <w:color w:val="auto"/>
              </w:rPr>
            </w:pPr>
          </w:p>
        </w:tc>
        <w:tc>
          <w:tcPr>
            <w:tcW w:w="500" w:type="dxa"/>
            <w:vAlign w:val="bottom"/>
            <w:tcBorders>
              <w:bottom w:val="single" w:sz="8" w:color="005BA5"/>
            </w:tcBorders>
          </w:tcPr>
          <w:p>
            <w:pPr>
              <w:jc w:val="right"/>
              <w:ind w:right="59"/>
              <w:spacing w:after="0"/>
              <w:rPr>
                <w:sz w:val="20"/>
                <w:szCs w:val="20"/>
                <w:color w:val="auto"/>
              </w:rPr>
            </w:pPr>
            <w:r>
              <w:rPr>
                <w:rFonts w:ascii="Arial" w:cs="Arial" w:eastAsia="Arial" w:hAnsi="Arial"/>
                <w:sz w:val="16"/>
                <w:szCs w:val="16"/>
                <w:b w:val="1"/>
                <w:bCs w:val="1"/>
                <w:color w:val="auto"/>
                <w:w w:val="95"/>
              </w:rPr>
              <w:t>2019</w:t>
            </w:r>
          </w:p>
        </w:tc>
        <w:tc>
          <w:tcPr>
            <w:tcW w:w="40" w:type="dxa"/>
            <w:vAlign w:val="bottom"/>
            <w:tcBorders>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005BA5"/>
            </w:tcBorders>
          </w:tcPr>
          <w:p>
            <w:pPr>
              <w:spacing w:after="0"/>
              <w:rPr>
                <w:sz w:val="22"/>
                <w:szCs w:val="22"/>
                <w:color w:val="auto"/>
              </w:rPr>
            </w:pPr>
          </w:p>
        </w:tc>
        <w:tc>
          <w:tcPr>
            <w:tcW w:w="520" w:type="dxa"/>
            <w:vAlign w:val="bottom"/>
            <w:tcBorders>
              <w:bottom w:val="single" w:sz="8" w:color="005BA5"/>
            </w:tcBorders>
          </w:tcPr>
          <w:p>
            <w:pPr>
              <w:jc w:val="right"/>
              <w:ind w:right="79"/>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223"/>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Underwriting income (loss) - prior period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341</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1,008</w:t>
            </w:r>
          </w:p>
        </w:tc>
        <w:tc>
          <w:tcPr>
            <w:tcW w:w="28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594</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Changes in underwriting income (loss) from:</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Increase (decrease) premiums earned</w:t>
            </w:r>
          </w:p>
        </w:tc>
        <w:tc>
          <w:tcPr>
            <w:tcW w:w="1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Increase (decrease) other revenue</w:t>
            </w:r>
          </w:p>
        </w:tc>
        <w:tc>
          <w:tcPr>
            <w:tcW w:w="1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(Increase) decrease incurred claims and claims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expense (“losses”):</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560" w:type="dxa"/>
            <w:vAlign w:val="bottom"/>
            <w:gridSpan w:val="2"/>
          </w:tcPr>
          <w:p>
            <w:pPr>
              <w:ind w:left="280"/>
              <w:spacing w:after="0"/>
              <w:rPr>
                <w:sz w:val="20"/>
                <w:szCs w:val="20"/>
                <w:color w:val="auto"/>
              </w:rPr>
            </w:pPr>
            <w:r>
              <w:rPr>
                <w:rFonts w:ascii="Arial" w:cs="Arial" w:eastAsia="Arial" w:hAnsi="Arial"/>
                <w:sz w:val="16"/>
                <w:szCs w:val="16"/>
                <w:color w:val="auto"/>
              </w:rPr>
              <w:t>Incurred losses, excluding catastrophe losses</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ind w:left="280"/>
              <w:spacing w:after="0"/>
              <w:rPr>
                <w:sz w:val="20"/>
                <w:szCs w:val="20"/>
                <w:color w:val="auto"/>
              </w:rPr>
            </w:pPr>
            <w:r>
              <w:rPr>
                <w:rFonts w:ascii="Arial" w:cs="Arial" w:eastAsia="Arial" w:hAnsi="Arial"/>
                <w:sz w:val="16"/>
                <w:szCs w:val="16"/>
                <w:color w:val="auto"/>
              </w:rPr>
              <w:t>and reserve reestimates</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560" w:type="dxa"/>
            <w:vAlign w:val="bottom"/>
            <w:gridSpan w:val="2"/>
          </w:tcPr>
          <w:p>
            <w:pPr>
              <w:ind w:left="280"/>
              <w:spacing w:after="0"/>
              <w:rPr>
                <w:sz w:val="20"/>
                <w:szCs w:val="20"/>
                <w:color w:val="auto"/>
              </w:rPr>
            </w:pPr>
            <w:r>
              <w:rPr>
                <w:rFonts w:ascii="Arial" w:cs="Arial" w:eastAsia="Arial" w:hAnsi="Arial"/>
                <w:sz w:val="16"/>
                <w:szCs w:val="16"/>
                <w:color w:val="auto"/>
              </w:rPr>
              <w:t>Catastrophe losses, excluding reserve</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ind w:left="280"/>
              <w:spacing w:after="0"/>
              <w:rPr>
                <w:sz w:val="20"/>
                <w:szCs w:val="20"/>
                <w:color w:val="auto"/>
              </w:rPr>
            </w:pPr>
            <w:r>
              <w:rPr>
                <w:rFonts w:ascii="Arial" w:cs="Arial" w:eastAsia="Arial" w:hAnsi="Arial"/>
                <w:sz w:val="16"/>
                <w:szCs w:val="16"/>
                <w:color w:val="auto"/>
              </w:rPr>
              <w:t>reestimates</w:t>
            </w: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(270)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60" w:type="dxa"/>
            <w:vAlign w:val="bottom"/>
            <w:gridSpan w:val="2"/>
          </w:tcPr>
          <w:p>
            <w:pPr>
              <w:ind w:left="280"/>
              <w:spacing w:after="0"/>
              <w:rPr>
                <w:sz w:val="20"/>
                <w:szCs w:val="20"/>
                <w:color w:val="auto"/>
              </w:rPr>
            </w:pPr>
            <w:r>
              <w:rPr>
                <w:rFonts w:ascii="Arial" w:cs="Arial" w:eastAsia="Arial" w:hAnsi="Arial"/>
                <w:sz w:val="16"/>
                <w:szCs w:val="16"/>
                <w:color w:val="auto"/>
              </w:rPr>
              <w:t>Catastrophe reserve reestimates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60" w:type="dxa"/>
            <w:vAlign w:val="bottom"/>
            <w:gridSpan w:val="2"/>
          </w:tcPr>
          <w:p>
            <w:pPr>
              <w:ind w:left="280"/>
              <w:spacing w:after="0"/>
              <w:rPr>
                <w:sz w:val="20"/>
                <w:szCs w:val="20"/>
                <w:color w:val="auto"/>
              </w:rPr>
            </w:pPr>
            <w:r>
              <w:rPr>
                <w:rFonts w:ascii="Arial" w:cs="Arial" w:eastAsia="Arial" w:hAnsi="Arial"/>
                <w:sz w:val="16"/>
                <w:szCs w:val="16"/>
                <w:color w:val="auto"/>
              </w:rPr>
              <w:t>Non-catastrophe reserve reestimates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34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5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54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60" w:type="dxa"/>
            <w:vAlign w:val="bottom"/>
            <w:gridSpan w:val="2"/>
          </w:tcPr>
          <w:p>
            <w:pPr>
              <w:ind w:left="500"/>
              <w:spacing w:after="0"/>
              <w:rPr>
                <w:sz w:val="20"/>
                <w:szCs w:val="20"/>
                <w:color w:val="auto"/>
              </w:rPr>
            </w:pPr>
            <w:r>
              <w:rPr>
                <w:rFonts w:ascii="Arial" w:cs="Arial" w:eastAsia="Arial" w:hAnsi="Arial"/>
                <w:sz w:val="16"/>
                <w:szCs w:val="16"/>
                <w:color w:val="auto"/>
              </w:rPr>
              <w:t>Losses subtotal</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54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(Increase) decrease expenses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33"/>
        </w:trPr>
        <w:tc>
          <w:tcPr>
            <w:tcW w:w="34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5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54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 (loss)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510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b w:val="1"/>
                <w:bCs w:val="1"/>
                <w:color w:val="auto"/>
              </w:rPr>
              <w:t>617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39"/>
              <w:spacing w:after="0"/>
              <w:rPr>
                <w:sz w:val="20"/>
                <w:szCs w:val="20"/>
                <w:color w:val="auto"/>
              </w:rPr>
            </w:pPr>
            <w:r>
              <w:rPr>
                <w:rFonts w:ascii="Arial" w:cs="Arial" w:eastAsia="Arial" w:hAnsi="Arial"/>
                <w:sz w:val="16"/>
                <w:szCs w:val="16"/>
                <w:b w:val="1"/>
                <w:bCs w:val="1"/>
                <w:color w:val="auto"/>
              </w:rPr>
              <w:t>142</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341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33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ind w:right="19"/>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703</w:t>
            </w:r>
          </w:p>
        </w:tc>
        <w:tc>
          <w:tcPr>
            <w:tcW w:w="2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b w:val="1"/>
                <w:bCs w:val="1"/>
                <w:color w:val="auto"/>
                <w:w w:val="99"/>
              </w:rPr>
              <w:t>1,008</w:t>
            </w:r>
          </w:p>
        </w:tc>
        <w:tc>
          <w:tcPr>
            <w:tcW w:w="0" w:type="dxa"/>
            <w:vAlign w:val="bottom"/>
          </w:tcPr>
          <w:p>
            <w:pPr>
              <w:spacing w:after="0"/>
              <w:rPr>
                <w:sz w:val="1"/>
                <w:szCs w:val="1"/>
                <w:color w:val="auto"/>
              </w:rPr>
            </w:pPr>
          </w:p>
        </w:tc>
      </w:tr>
      <w:tr>
        <w:trPr>
          <w:trHeight w:val="33"/>
        </w:trPr>
        <w:tc>
          <w:tcPr>
            <w:tcW w:w="34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5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54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80" w:hanging="191"/>
        <w:spacing w:after="0"/>
        <w:tabs>
          <w:tab w:leader="none" w:pos="280" w:val="left"/>
        </w:tabs>
        <w:numPr>
          <w:ilvl w:val="0"/>
          <w:numId w:val="34"/>
        </w:numPr>
        <w:rPr>
          <w:rFonts w:ascii="Arial" w:cs="Arial" w:eastAsia="Arial" w:hAnsi="Arial"/>
          <w:sz w:val="23"/>
          <w:szCs w:val="23"/>
          <w:color w:val="005BA5"/>
          <w:vertAlign w:val="superscript"/>
        </w:rPr>
      </w:pPr>
      <w:r>
        <w:rPr>
          <w:rFonts w:ascii="Arial" w:cs="Arial" w:eastAsia="Arial" w:hAnsi="Arial"/>
          <w:sz w:val="14"/>
          <w:szCs w:val="14"/>
          <w:color w:val="auto"/>
        </w:rPr>
        <w:t>The 2019 column presents changes in 2019 compared to 2018. The 2018 column presents changes in 2018 compared to 2017.</w:t>
      </w:r>
    </w:p>
    <w:p>
      <w:pPr>
        <w:spacing w:after="0" w:line="57" w:lineRule="exact"/>
        <w:rPr>
          <w:rFonts w:ascii="Arial" w:cs="Arial" w:eastAsia="Arial" w:hAnsi="Arial"/>
          <w:sz w:val="23"/>
          <w:szCs w:val="23"/>
          <w:color w:val="005BA5"/>
          <w:vertAlign w:val="superscript"/>
        </w:rPr>
      </w:pPr>
    </w:p>
    <w:p>
      <w:pPr>
        <w:ind w:left="280" w:right="80" w:hanging="191"/>
        <w:spacing w:after="0" w:line="196" w:lineRule="auto"/>
        <w:tabs>
          <w:tab w:leader="none" w:pos="280" w:val="left"/>
        </w:tabs>
        <w:numPr>
          <w:ilvl w:val="0"/>
          <w:numId w:val="34"/>
        </w:numPr>
        <w:rPr>
          <w:rFonts w:ascii="Arial" w:cs="Arial" w:eastAsia="Arial" w:hAnsi="Arial"/>
          <w:sz w:val="23"/>
          <w:szCs w:val="23"/>
          <w:color w:val="005BA5"/>
          <w:vertAlign w:val="superscript"/>
        </w:rPr>
      </w:pPr>
      <w:r>
        <w:rPr>
          <w:rFonts w:ascii="Arial" w:cs="Arial" w:eastAsia="Arial" w:hAnsi="Arial"/>
          <w:sz w:val="14"/>
          <w:szCs w:val="14"/>
          <w:color w:val="auto"/>
        </w:rPr>
        <w:t>Includes other business lines underwriting income of $11 million and $8 million in the first quarter of 2019 and 2018, respectively. Includes Answer Financial underwriting loss of zero and $2 million in the first quarter of 2019 and 2018, respectively.</w:t>
      </w:r>
    </w:p>
    <w:p>
      <w:pPr>
        <w:spacing w:after="0" w:line="93" w:lineRule="exact"/>
        <w:rPr>
          <w:sz w:val="20"/>
          <w:szCs w:val="20"/>
          <w:color w:val="auto"/>
        </w:rPr>
      </w:pPr>
    </w:p>
    <w:p>
      <w:pPr>
        <w:ind w:right="80" w:firstLine="324"/>
        <w:spacing w:after="0" w:line="281" w:lineRule="auto"/>
        <w:rPr>
          <w:sz w:val="20"/>
          <w:szCs w:val="20"/>
          <w:color w:val="auto"/>
        </w:rPr>
      </w:pPr>
      <w:r>
        <w:rPr>
          <w:rFonts w:ascii="Arial" w:cs="Arial" w:eastAsia="Arial" w:hAnsi="Arial"/>
          <w:sz w:val="16"/>
          <w:szCs w:val="16"/>
          <w:i w:val="1"/>
          <w:iCs w:val="1"/>
          <w:color w:val="1666AF"/>
        </w:rPr>
        <w:t xml:space="preserve">Underwriting income </w:t>
      </w:r>
      <w:r>
        <w:rPr>
          <w:rFonts w:ascii="Arial" w:cs="Arial" w:eastAsia="Arial" w:hAnsi="Arial"/>
          <w:sz w:val="16"/>
          <w:szCs w:val="16"/>
          <w:color w:val="000000"/>
        </w:rPr>
        <w:t>decreased to $703 million in the first quarter of 2019 from $1.01 billion in the first quarter of 2018, primarily due to higher catastrophe</w:t>
      </w:r>
      <w:r>
        <w:rPr>
          <w:rFonts w:ascii="Arial" w:cs="Arial" w:eastAsia="Arial" w:hAnsi="Arial"/>
          <w:sz w:val="16"/>
          <w:szCs w:val="16"/>
          <w:i w:val="1"/>
          <w:iCs w:val="1"/>
          <w:color w:val="1666AF"/>
        </w:rPr>
        <w:t xml:space="preserve"> </w:t>
      </w:r>
      <w:r>
        <w:rPr>
          <w:rFonts w:ascii="Arial" w:cs="Arial" w:eastAsia="Arial" w:hAnsi="Arial"/>
          <w:sz w:val="16"/>
          <w:szCs w:val="16"/>
          <w:color w:val="000000"/>
        </w:rPr>
        <w:t>losses, claim severity and operating costs and expenses, partially offset by increased premiums earned and improved auto claim frequency.</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54 </w:t>
      </w:r>
      <w:r>
        <w:rPr>
          <w:sz w:val="1"/>
          <w:szCs w:val="1"/>
          <w:color w:val="auto"/>
        </w:rPr>
        <w:drawing>
          <wp:inline distT="0" distB="0" distL="0" distR="0">
            <wp:extent cx="111760" cy="1117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420"/>
          </w:cols>
          <w:pgMar w:left="240" w:top="141" w:right="239" w:bottom="1440" w:gutter="0" w:footer="0" w:header="0"/>
        </w:sectPr>
      </w:pPr>
    </w:p>
    <w:bookmarkStart w:id="58" w:name="page59"/>
    <w:bookmarkEnd w:id="58"/>
    <w:p>
      <w:pPr>
        <w:ind w:left="8840"/>
        <w:spacing w:after="0"/>
        <w:rPr>
          <w:sz w:val="20"/>
          <w:szCs w:val="20"/>
          <w:color w:val="auto"/>
        </w:rPr>
      </w:pPr>
      <w:r>
        <w:rPr>
          <w:rFonts w:ascii="Arial" w:cs="Arial" w:eastAsia="Arial" w:hAnsi="Arial"/>
          <w:sz w:val="16"/>
          <w:szCs w:val="16"/>
          <w:color w:val="auto"/>
        </w:rPr>
        <w:t xml:space="preserve">Allstate Protection </w:t>
      </w:r>
      <w:r>
        <w:rPr>
          <w:rFonts w:ascii="Arial" w:cs="Arial" w:eastAsia="Arial" w:hAnsi="Arial"/>
          <w:sz w:val="16"/>
          <w:szCs w:val="16"/>
          <w:color w:val="005BA5"/>
        </w:rPr>
        <w:t>Segment Results</w:t>
      </w:r>
    </w:p>
    <w:p>
      <w:pPr>
        <w:spacing w:after="0" w:line="34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6"/>
          <w:szCs w:val="16"/>
          <w:i w:val="1"/>
          <w:iCs w:val="1"/>
          <w:color w:val="1666AF"/>
        </w:rPr>
        <w:t xml:space="preserve">Premiums written </w:t>
      </w:r>
      <w:r>
        <w:rPr>
          <w:rFonts w:ascii="Arial" w:cs="Arial" w:eastAsia="Arial" w:hAnsi="Arial"/>
          <w:sz w:val="16"/>
          <w:szCs w:val="16"/>
          <w:color w:val="000000"/>
        </w:rPr>
        <w:t>is the amount of premiums charged for policies issued during a fiscal period. Premiums are considered earned and are included in the</w:t>
      </w:r>
      <w:r>
        <w:rPr>
          <w:rFonts w:ascii="Arial" w:cs="Arial" w:eastAsia="Arial" w:hAnsi="Arial"/>
          <w:sz w:val="16"/>
          <w:szCs w:val="16"/>
          <w:i w:val="1"/>
          <w:iCs w:val="1"/>
          <w:color w:val="1666AF"/>
        </w:rPr>
        <w:t xml:space="preserve"> </w:t>
      </w:r>
      <w:r>
        <w:rPr>
          <w:rFonts w:ascii="Arial" w:cs="Arial" w:eastAsia="Arial" w:hAnsi="Arial"/>
          <w:sz w:val="16"/>
          <w:szCs w:val="16"/>
          <w:color w:val="000000"/>
        </w:rPr>
        <w:t>financial results on a pro-rata basis over the policy period. The portion of premiums written applicable to the unexpired term of the policies is recorded as unearned premiums on our Condensed Consolidated Statements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Premiums written and earned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9"/>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r>
      <w:tr>
        <w:trPr>
          <w:trHeight w:val="249"/>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Premiums written</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gridSpan w:val="3"/>
          </w:tcPr>
          <w:p>
            <w:pPr>
              <w:jc w:val="right"/>
              <w:ind w:right="359"/>
              <w:spacing w:after="0"/>
              <w:rPr>
                <w:sz w:val="20"/>
                <w:szCs w:val="20"/>
                <w:color w:val="auto"/>
              </w:rPr>
            </w:pPr>
            <w:r>
              <w:rPr>
                <w:rFonts w:ascii="Arial" w:cs="Arial" w:eastAsia="Arial" w:hAnsi="Arial"/>
                <w:sz w:val="16"/>
                <w:szCs w:val="16"/>
                <w:b w:val="1"/>
                <w:bCs w:val="1"/>
                <w:color w:val="auto"/>
                <w:w w:val="89"/>
              </w:rPr>
              <w:t>2019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60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6,047</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5,739</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1,676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1,572</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419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396</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60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Subtotal – Personal lines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8,142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7,707</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Commercial lines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60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premiums written</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rPr>
              <w:t>8,327</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7,844</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i w:val="1"/>
                <w:iCs w:val="1"/>
                <w:color w:val="auto"/>
              </w:rPr>
              <w:t>Reconciliation of premiums written to premiums earned: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Decrease in unearned premiums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209</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60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premiums earned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rPr>
              <w:t>8,507</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8,019</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15"/>
        </w:trPr>
        <w:tc>
          <w:tcPr>
            <w:tcW w:w="4580" w:type="dxa"/>
            <w:vAlign w:val="bottom"/>
            <w:tcBorders>
              <w:top w:val="single" w:sz="8" w:color="005BA5"/>
              <w:bottom w:val="single" w:sz="8" w:color="ACACAC"/>
            </w:tcBorders>
          </w:tcPr>
          <w:p>
            <w:pPr>
              <w:spacing w:after="0"/>
              <w:rPr>
                <w:sz w:val="10"/>
                <w:szCs w:val="10"/>
                <w:color w:val="auto"/>
              </w:rPr>
            </w:pPr>
          </w:p>
        </w:tc>
        <w:tc>
          <w:tcPr>
            <w:tcW w:w="120" w:type="dxa"/>
            <w:vAlign w:val="bottom"/>
            <w:tcBorders>
              <w:top w:val="single" w:sz="8" w:color="005BA5"/>
              <w:bottom w:val="single" w:sz="8" w:color="ACACAC"/>
            </w:tcBorders>
          </w:tcPr>
          <w:p>
            <w:pPr>
              <w:spacing w:after="0"/>
              <w:rPr>
                <w:sz w:val="10"/>
                <w:szCs w:val="10"/>
                <w:color w:val="auto"/>
              </w:rPr>
            </w:pPr>
          </w:p>
        </w:tc>
        <w:tc>
          <w:tcPr>
            <w:tcW w:w="1040" w:type="dxa"/>
            <w:vAlign w:val="bottom"/>
            <w:tcBorders>
              <w:top w:val="single" w:sz="8" w:color="005BA5"/>
              <w:bottom w:val="single" w:sz="8" w:color="ACACAC"/>
            </w:tcBorders>
          </w:tcPr>
          <w:p>
            <w:pPr>
              <w:spacing w:after="0"/>
              <w:rPr>
                <w:sz w:val="10"/>
                <w:szCs w:val="10"/>
                <w:color w:val="auto"/>
              </w:rPr>
            </w:pPr>
          </w:p>
        </w:tc>
        <w:tc>
          <w:tcPr>
            <w:tcW w:w="120" w:type="dxa"/>
            <w:vAlign w:val="bottom"/>
            <w:tcBorders>
              <w:top w:val="single" w:sz="8" w:color="005BA5"/>
              <w:bottom w:val="single" w:sz="8" w:color="ACACAC"/>
            </w:tcBorders>
          </w:tcPr>
          <w:p>
            <w:pPr>
              <w:spacing w:after="0"/>
              <w:rPr>
                <w:sz w:val="10"/>
                <w:szCs w:val="10"/>
                <w:color w:val="auto"/>
              </w:rPr>
            </w:pPr>
          </w:p>
        </w:tc>
        <w:tc>
          <w:tcPr>
            <w:tcW w:w="340" w:type="dxa"/>
            <w:vAlign w:val="bottom"/>
            <w:tcBorders>
              <w:top w:val="single" w:sz="8" w:color="005BA5"/>
              <w:bottom w:val="single" w:sz="8" w:color="ACACAC"/>
            </w:tcBorders>
          </w:tcPr>
          <w:p>
            <w:pPr>
              <w:spacing w:after="0"/>
              <w:rPr>
                <w:sz w:val="10"/>
                <w:szCs w:val="10"/>
                <w:color w:val="auto"/>
              </w:rPr>
            </w:pPr>
          </w:p>
        </w:tc>
        <w:tc>
          <w:tcPr>
            <w:tcW w:w="700" w:type="dxa"/>
            <w:vAlign w:val="bottom"/>
            <w:tcBorders>
              <w:top w:val="single" w:sz="8" w:color="005BA5"/>
              <w:bottom w:val="single" w:sz="8" w:color="ACACAC"/>
            </w:tcBorders>
          </w:tcPr>
          <w:p>
            <w:pPr>
              <w:spacing w:after="0"/>
              <w:rPr>
                <w:sz w:val="10"/>
                <w:szCs w:val="10"/>
                <w:color w:val="auto"/>
              </w:rPr>
            </w:pPr>
          </w:p>
        </w:tc>
        <w:tc>
          <w:tcPr>
            <w:tcW w:w="140" w:type="dxa"/>
            <w:vAlign w:val="bottom"/>
            <w:tcBorders>
              <w:top w:val="single" w:sz="8" w:color="005BA5"/>
              <w:bottom w:val="single" w:sz="8" w:color="ACACAC"/>
            </w:tcBorders>
          </w:tcPr>
          <w:p>
            <w:pPr>
              <w:spacing w:after="0"/>
              <w:rPr>
                <w:sz w:val="10"/>
                <w:szCs w:val="10"/>
                <w:color w:val="auto"/>
              </w:rPr>
            </w:pPr>
          </w:p>
        </w:tc>
        <w:tc>
          <w:tcPr>
            <w:tcW w:w="1020" w:type="dxa"/>
            <w:vAlign w:val="bottom"/>
            <w:tcBorders>
              <w:top w:val="single" w:sz="8" w:color="005BA5"/>
              <w:bottom w:val="single" w:sz="8" w:color="ACACAC"/>
            </w:tcBorders>
          </w:tcPr>
          <w:p>
            <w:pPr>
              <w:spacing w:after="0"/>
              <w:rPr>
                <w:sz w:val="10"/>
                <w:szCs w:val="10"/>
                <w:color w:val="auto"/>
              </w:rPr>
            </w:pPr>
          </w:p>
        </w:tc>
        <w:tc>
          <w:tcPr>
            <w:tcW w:w="100" w:type="dxa"/>
            <w:vAlign w:val="bottom"/>
            <w:tcBorders>
              <w:top w:val="single" w:sz="8" w:color="005BA5"/>
              <w:bottom w:val="single" w:sz="8" w:color="ACACAC"/>
            </w:tcBorders>
          </w:tcPr>
          <w:p>
            <w:pPr>
              <w:spacing w:after="0"/>
              <w:rPr>
                <w:sz w:val="10"/>
                <w:szCs w:val="10"/>
                <w:color w:val="auto"/>
              </w:rPr>
            </w:pPr>
          </w:p>
        </w:tc>
        <w:tc>
          <w:tcPr>
            <w:tcW w:w="300" w:type="dxa"/>
            <w:vAlign w:val="bottom"/>
            <w:tcBorders>
              <w:top w:val="single" w:sz="8" w:color="005BA5"/>
              <w:bottom w:val="single" w:sz="8" w:color="ACACAC"/>
            </w:tcBorders>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Borders>
              <w:top w:val="single" w:sz="8" w:color="005BA5"/>
              <w:bottom w:val="single" w:sz="8" w:color="ACACAC"/>
            </w:tcBorders>
          </w:tcPr>
          <w:p>
            <w:pPr>
              <w:spacing w:after="0"/>
              <w:rPr>
                <w:sz w:val="10"/>
                <w:szCs w:val="10"/>
                <w:color w:val="auto"/>
              </w:rPr>
            </w:pPr>
          </w:p>
        </w:tc>
        <w:tc>
          <w:tcPr>
            <w:tcW w:w="80" w:type="dxa"/>
            <w:vAlign w:val="bottom"/>
            <w:tcBorders>
              <w:top w:val="single" w:sz="8" w:color="005BA5"/>
              <w:bottom w:val="single" w:sz="8" w:color="ACACAC"/>
            </w:tcBorders>
          </w:tcPr>
          <w:p>
            <w:pPr>
              <w:spacing w:after="0"/>
              <w:rPr>
                <w:sz w:val="10"/>
                <w:szCs w:val="10"/>
                <w:color w:val="auto"/>
              </w:rPr>
            </w:pPr>
          </w:p>
        </w:tc>
        <w:tc>
          <w:tcPr>
            <w:tcW w:w="100" w:type="dxa"/>
            <w:vAlign w:val="bottom"/>
            <w:tcBorders>
              <w:top w:val="single" w:sz="8" w:color="005BA5"/>
              <w:bottom w:val="single" w:sz="8" w:color="ACACAC"/>
            </w:tcBorders>
          </w:tcPr>
          <w:p>
            <w:pPr>
              <w:spacing w:after="0"/>
              <w:rPr>
                <w:sz w:val="10"/>
                <w:szCs w:val="10"/>
                <w:color w:val="auto"/>
              </w:rPr>
            </w:pPr>
          </w:p>
        </w:tc>
        <w:tc>
          <w:tcPr>
            <w:tcW w:w="600" w:type="dxa"/>
            <w:vAlign w:val="bottom"/>
            <w:tcBorders>
              <w:top w:val="single" w:sz="8" w:color="005BA5"/>
              <w:bottom w:val="single" w:sz="8" w:color="ACACAC"/>
            </w:tcBorders>
          </w:tcPr>
          <w:p>
            <w:pPr>
              <w:spacing w:after="0"/>
              <w:rPr>
                <w:sz w:val="10"/>
                <w:szCs w:val="10"/>
                <w:color w:val="auto"/>
              </w:rPr>
            </w:pPr>
          </w:p>
        </w:tc>
        <w:tc>
          <w:tcPr>
            <w:tcW w:w="80" w:type="dxa"/>
            <w:vAlign w:val="bottom"/>
            <w:tcBorders>
              <w:top w:val="single" w:sz="8" w:color="005BA5"/>
              <w:bottom w:val="single" w:sz="8" w:color="ACACAC"/>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005BA5"/>
              <w:bottom w:val="single" w:sz="8" w:color="ACACAC"/>
            </w:tcBorders>
          </w:tcPr>
          <w:p>
            <w:pPr>
              <w:spacing w:after="0"/>
              <w:rPr>
                <w:sz w:val="10"/>
                <w:szCs w:val="10"/>
                <w:color w:val="auto"/>
              </w:rPr>
            </w:pPr>
          </w:p>
        </w:tc>
        <w:tc>
          <w:tcPr>
            <w:tcW w:w="100" w:type="dxa"/>
            <w:vAlign w:val="bottom"/>
            <w:tcBorders>
              <w:top w:val="single" w:sz="8" w:color="005BA5"/>
              <w:bottom w:val="single" w:sz="8" w:color="ACACAC"/>
            </w:tcBorders>
          </w:tcPr>
          <w:p>
            <w:pPr>
              <w:spacing w:after="0"/>
              <w:rPr>
                <w:sz w:val="10"/>
                <w:szCs w:val="10"/>
                <w:color w:val="auto"/>
              </w:rPr>
            </w:pPr>
          </w:p>
        </w:tc>
        <w:tc>
          <w:tcPr>
            <w:tcW w:w="1020" w:type="dxa"/>
            <w:vAlign w:val="bottom"/>
            <w:tcBorders>
              <w:top w:val="single" w:sz="8" w:color="005BA5"/>
              <w:bottom w:val="single" w:sz="8" w:color="ACACAC"/>
            </w:tcBorders>
          </w:tcPr>
          <w:p>
            <w:pPr>
              <w:spacing w:after="0"/>
              <w:rPr>
                <w:sz w:val="10"/>
                <w:szCs w:val="10"/>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5,930</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5,591</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1,935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1,848</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459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444</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60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Subtotal – Personal lines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8,324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7,883</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Commercial lines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60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premiums earned</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b w:val="1"/>
                <w:bCs w:val="1"/>
                <w:color w:val="auto"/>
              </w:rPr>
              <w:t>8,507</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8,019</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60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r>
      <w:tr>
        <w:trPr>
          <w:trHeight w:val="129"/>
        </w:trPr>
        <w:tc>
          <w:tcPr>
            <w:tcW w:w="4700" w:type="dxa"/>
            <w:vAlign w:val="bottom"/>
            <w:tcBorders>
              <w:bottom w:val="single" w:sz="8" w:color="auto"/>
            </w:tcBorders>
            <w:gridSpan w:val="2"/>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338"/>
        </w:trPr>
        <w:tc>
          <w:tcPr>
            <w:tcW w:w="47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Combined ratios by line of business</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70"/>
        </w:trPr>
        <w:tc>
          <w:tcPr>
            <w:tcW w:w="4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w w:val="91"/>
              </w:rPr>
              <w:t>Loss ratio</w:t>
            </w:r>
          </w:p>
        </w:tc>
        <w:tc>
          <w:tcPr>
            <w:tcW w:w="70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060" w:type="dxa"/>
            <w:vAlign w:val="bottom"/>
            <w:tcBorders>
              <w:bottom w:val="single" w:sz="8" w:color="auto"/>
            </w:tcBorders>
            <w:gridSpan w:val="5"/>
          </w:tcPr>
          <w:p>
            <w:pPr>
              <w:jc w:val="right"/>
              <w:ind w:right="339"/>
              <w:spacing w:after="0" w:line="270" w:lineRule="exact"/>
              <w:rPr>
                <w:sz w:val="20"/>
                <w:szCs w:val="20"/>
                <w:color w:val="auto"/>
              </w:rPr>
            </w:pPr>
            <w:r>
              <w:rPr>
                <w:rFonts w:ascii="Arial" w:cs="Arial" w:eastAsia="Arial" w:hAnsi="Arial"/>
                <w:sz w:val="16"/>
                <w:szCs w:val="16"/>
                <w:b w:val="1"/>
                <w:bCs w:val="1"/>
                <w:color w:val="auto"/>
              </w:rPr>
              <w:t xml:space="preserve">Expense ratio </w:t>
            </w:r>
            <w:r>
              <w:rPr>
                <w:rFonts w:ascii="Arial" w:cs="Arial" w:eastAsia="Arial" w:hAnsi="Arial"/>
                <w:sz w:val="27"/>
                <w:szCs w:val="27"/>
                <w:color w:val="005BA5"/>
                <w:vertAlign w:val="superscript"/>
              </w:rPr>
              <w:t>(1)</w:t>
            </w:r>
          </w:p>
        </w:tc>
        <w:tc>
          <w:tcPr>
            <w:tcW w:w="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140" w:type="dxa"/>
            <w:vAlign w:val="bottom"/>
            <w:tcBorders>
              <w:bottom w:val="single" w:sz="8" w:color="auto"/>
            </w:tcBorders>
            <w:gridSpan w:val="6"/>
          </w:tcPr>
          <w:p>
            <w:pPr>
              <w:jc w:val="right"/>
              <w:ind w:right="419"/>
              <w:spacing w:after="0"/>
              <w:rPr>
                <w:sz w:val="20"/>
                <w:szCs w:val="20"/>
                <w:color w:val="auto"/>
              </w:rPr>
            </w:pPr>
            <w:r>
              <w:rPr>
                <w:rFonts w:ascii="Arial" w:cs="Arial" w:eastAsia="Arial" w:hAnsi="Arial"/>
                <w:sz w:val="16"/>
                <w:szCs w:val="16"/>
                <w:b w:val="1"/>
                <w:bCs w:val="1"/>
                <w:color w:val="auto"/>
              </w:rPr>
              <w:t>Combined ratio</w:t>
            </w:r>
          </w:p>
        </w:tc>
      </w:tr>
      <w:tr>
        <w:trPr>
          <w:trHeight w:val="217"/>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2018</w:t>
            </w:r>
          </w:p>
        </w:tc>
        <w:tc>
          <w:tcPr>
            <w:tcW w:w="14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860" w:type="dxa"/>
            <w:vAlign w:val="bottom"/>
            <w:gridSpan w:val="4"/>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gridSpan w:val="2"/>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64.1</w:t>
            </w: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w w:val="96"/>
              </w:rPr>
              <w:t>91.4</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89.0</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gridSpan w:val="2"/>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w w:val="96"/>
              </w:rPr>
              <w:t>92.7</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81.5</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gridSpan w:val="2"/>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61.7</w:t>
            </w: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w w:val="96"/>
              </w:rPr>
              <w:t>92.8</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88.7</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gridSpan w:val="2"/>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Commercial lines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w w:val="96"/>
              </w:rPr>
              <w:t>96.2</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104.4</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gridSpan w:val="2"/>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67.3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62.8</w:t>
            </w: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rPr>
              <w:t>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6"/>
              </w:rPr>
              <w:t>91.7</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87.4</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r>
    </w:tbl>
    <w:p>
      <w:pPr>
        <w:spacing w:after="0" w:line="21" w:lineRule="exact"/>
        <w:rPr>
          <w:sz w:val="20"/>
          <w:szCs w:val="20"/>
          <w:color w:val="auto"/>
        </w:rPr>
      </w:pPr>
    </w:p>
    <w:p>
      <w:pPr>
        <w:ind w:left="280" w:hanging="191"/>
        <w:spacing w:after="0"/>
        <w:tabs>
          <w:tab w:leader="none" w:pos="280" w:val="left"/>
        </w:tabs>
        <w:numPr>
          <w:ilvl w:val="0"/>
          <w:numId w:val="35"/>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operating costs and expenses in the expense ratio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Loss ratios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Effect of catastrophe losses</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Effect of prior year reserve</w:t>
            </w: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included in prior year</w:t>
            </w: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660"/>
              <w:spacing w:after="0"/>
              <w:rPr>
                <w:sz w:val="20"/>
                <w:szCs w:val="20"/>
                <w:color w:val="auto"/>
              </w:rPr>
            </w:pPr>
            <w:r>
              <w:rPr>
                <w:rFonts w:ascii="Arial" w:cs="Arial" w:eastAsia="Arial" w:hAnsi="Arial"/>
                <w:sz w:val="16"/>
                <w:szCs w:val="16"/>
                <w:b w:val="1"/>
                <w:bCs w:val="1"/>
                <w:color w:val="auto"/>
                <w:w w:val="86"/>
              </w:rPr>
              <w:t>Loss ratio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Effect of catastrophe losses</w:t>
            </w:r>
          </w:p>
        </w:tc>
        <w:tc>
          <w:tcPr>
            <w:tcW w:w="20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7"/>
              </w:rPr>
              <w:t>reestimates</w:t>
            </w: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reserve reestimates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7"/>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r>
      <w:tr>
        <w:trPr>
          <w:trHeight w:val="231"/>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Commercial lines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67.3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62.8</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8.0</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4.5</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0.1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(0.7)</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0.6</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r>
    </w:tbl>
    <w:p>
      <w:pPr>
        <w:spacing w:after="0" w:line="3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55</w:t>
      </w:r>
    </w:p>
    <w:p>
      <w:pPr>
        <w:sectPr>
          <w:pgSz w:w="11900" w:h="16838" w:orient="portrait"/>
          <w:cols w:equalWidth="0" w:num="1">
            <w:col w:w="11420"/>
          </w:cols>
          <w:pgMar w:left="240" w:top="141" w:right="2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005BA5"/>
        </w:rPr>
        <w:t xml:space="preserve">Segment Results </w:t>
      </w:r>
      <w:r>
        <w:rPr>
          <w:rFonts w:ascii="Arial" w:cs="Arial" w:eastAsia="Arial" w:hAnsi="Arial"/>
          <w:sz w:val="16"/>
          <w:szCs w:val="16"/>
          <w:color w:val="000000"/>
        </w:rPr>
        <w:t>Allstate Protection</w:t>
      </w:r>
    </w:p>
    <w:p>
      <w:pPr>
        <w:spacing w:after="0" w:line="336" w:lineRule="exact"/>
        <w:rPr>
          <w:sz w:val="20"/>
          <w:szCs w:val="20"/>
          <w:color w:val="auto"/>
        </w:rPr>
      </w:pPr>
    </w:p>
    <w:p>
      <w:pPr>
        <w:ind w:right="460" w:firstLine="324"/>
        <w:spacing w:after="0" w:line="286" w:lineRule="auto"/>
        <w:rPr>
          <w:sz w:val="20"/>
          <w:szCs w:val="20"/>
          <w:color w:val="auto"/>
        </w:rPr>
      </w:pPr>
      <w:r>
        <w:rPr>
          <w:rFonts w:ascii="Arial" w:cs="Arial" w:eastAsia="Arial" w:hAnsi="Arial"/>
          <w:sz w:val="16"/>
          <w:szCs w:val="16"/>
          <w:b w:val="1"/>
          <w:bCs w:val="1"/>
          <w:color w:val="1666AF"/>
        </w:rPr>
        <w:t xml:space="preserve">Catastrophe losses </w:t>
      </w:r>
      <w:r>
        <w:rPr>
          <w:rFonts w:ascii="Arial" w:cs="Arial" w:eastAsia="Arial" w:hAnsi="Arial"/>
          <w:sz w:val="16"/>
          <w:szCs w:val="16"/>
          <w:color w:val="000000"/>
        </w:rPr>
        <w:t>were $680 million in the first quarter of 2019</w:t>
      </w:r>
      <w:r>
        <w:rPr>
          <w:rFonts w:ascii="Arial" w:cs="Arial" w:eastAsia="Arial" w:hAnsi="Arial"/>
          <w:sz w:val="16"/>
          <w:szCs w:val="16"/>
          <w:b w:val="1"/>
          <w:bCs w:val="1"/>
          <w:color w:val="1666AF"/>
        </w:rPr>
        <w:t xml:space="preserve"> </w:t>
      </w:r>
      <w:r>
        <w:rPr>
          <w:rFonts w:ascii="Arial" w:cs="Arial" w:eastAsia="Arial" w:hAnsi="Arial"/>
          <w:sz w:val="16"/>
          <w:szCs w:val="16"/>
          <w:color w:val="000000"/>
        </w:rPr>
        <w:t>compared to $361 million in the first quarter of 2018.</w:t>
      </w:r>
    </w:p>
    <w:p>
      <w:pPr>
        <w:spacing w:after="0" w:line="68" w:lineRule="exact"/>
        <w:rPr>
          <w:sz w:val="20"/>
          <w:szCs w:val="20"/>
          <w:color w:val="auto"/>
        </w:rPr>
      </w:pPr>
    </w:p>
    <w:p>
      <w:pPr>
        <w:ind w:firstLine="338"/>
        <w:spacing w:after="0" w:line="248" w:lineRule="auto"/>
        <w:rPr>
          <w:sz w:val="20"/>
          <w:szCs w:val="20"/>
          <w:color w:val="auto"/>
        </w:rPr>
      </w:pPr>
      <w:r>
        <w:rPr>
          <w:rFonts w:ascii="Arial" w:cs="Arial" w:eastAsia="Arial" w:hAnsi="Arial"/>
          <w:sz w:val="16"/>
          <w:szCs w:val="16"/>
          <w:color w:val="auto"/>
        </w:rPr>
        <w:t>We define a “catastrophe” as an event that produces pre-tax losses before reinsurance in excess of $1 million and involves multiple first party policyholders, or a winter weather event that produces a number of claims in excess of a preset, per-event threshold of average claims in a specific area, occurring within a certain amount of time following the event. Catastrophes are caused by various natural events including high winds, winter storms and freezes, tornadoes, hailstorms, wildfires, tropical storms, tsunamis, hurricanes, earthquakes and volcanoes. We are also exposed to man-made catastrophic events, such as certain types of terrorism or industrial accidents. The nature and level of catastrophes in any period cannot be reliably predicted.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right="20" w:firstLine="324"/>
        <w:spacing w:after="0" w:line="248" w:lineRule="auto"/>
        <w:rPr>
          <w:sz w:val="20"/>
          <w:szCs w:val="20"/>
          <w:color w:val="auto"/>
        </w:rPr>
      </w:pPr>
      <w:r>
        <w:rPr>
          <w:rFonts w:ascii="Arial" w:cs="Arial" w:eastAsia="Arial" w:hAnsi="Arial"/>
          <w:sz w:val="16"/>
          <w:szCs w:val="16"/>
          <w:color w:val="auto"/>
        </w:rPr>
        <w:t>Loss estimates are generally based on claim adjuster inspections and the application of historical loss development factors. Our loss estimates are calculated in accordance with the coverage provided by our policies. Auto policyholders generally have coverage for physical damage due to flood if they have purchased optional auto comprehensive coverage. Our homeowners policies specifically exclude coverage for losses caused by flood.</w:t>
      </w:r>
    </w:p>
    <w:p>
      <w:pPr>
        <w:spacing w:after="0" w:line="47" w:lineRule="exact"/>
        <w:rPr>
          <w:sz w:val="20"/>
          <w:szCs w:val="20"/>
          <w:color w:val="auto"/>
        </w:rPr>
      </w:pPr>
    </w:p>
    <w:p>
      <w:pPr>
        <w:ind w:right="140" w:firstLine="324"/>
        <w:spacing w:after="0" w:line="251" w:lineRule="auto"/>
        <w:rPr>
          <w:sz w:val="20"/>
          <w:szCs w:val="20"/>
          <w:color w:val="auto"/>
        </w:rPr>
      </w:pPr>
      <w:r>
        <w:rPr>
          <w:rFonts w:ascii="Arial" w:cs="Arial" w:eastAsia="Arial" w:hAnsi="Arial"/>
          <w:sz w:val="16"/>
          <w:szCs w:val="16"/>
          <w:color w:val="auto"/>
        </w:rPr>
        <w:t>Over time, we have limited our aggregate insurance exposure to catastrophe losses in certain regions of the country that are subject to high levels of natural catastrophes, limited by our participation in various state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419100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5480" w:space="460"/>
            <w:col w:w="5480"/>
          </w:cols>
          <w:pgMar w:left="240" w:top="141" w:right="239" w:bottom="1440" w:gutter="0" w:footer="0" w:header="0"/>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Catastrophe losses by the size of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10"/>
          </w:tcPr>
          <w:p>
            <w:pPr>
              <w:jc w:val="right"/>
              <w:ind w:right="179"/>
              <w:spacing w:after="0"/>
              <w:rPr>
                <w:sz w:val="20"/>
                <w:szCs w:val="20"/>
                <w:color w:val="auto"/>
              </w:rPr>
            </w:pPr>
            <w:r>
              <w:rPr>
                <w:rFonts w:ascii="Arial" w:cs="Arial" w:eastAsia="Arial" w:hAnsi="Arial"/>
                <w:sz w:val="16"/>
                <w:szCs w:val="16"/>
                <w:b w:val="1"/>
                <w:bCs w:val="1"/>
                <w:color w:val="auto"/>
                <w:w w:val="93"/>
              </w:rPr>
              <w:t>Three months ended March 31, 2019</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9"/>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1"/>
              </w:rPr>
              <w:t>Combined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3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6"/>
          </w:tcPr>
          <w:p>
            <w:pPr>
              <w:ind w:left="200"/>
              <w:spacing w:after="0"/>
              <w:rPr>
                <w:sz w:val="20"/>
                <w:szCs w:val="20"/>
                <w:color w:val="auto"/>
              </w:rPr>
            </w:pPr>
            <w:r>
              <w:rPr>
                <w:rFonts w:ascii="Arial" w:cs="Arial" w:eastAsia="Arial" w:hAnsi="Arial"/>
                <w:sz w:val="16"/>
                <w:szCs w:val="16"/>
                <w:b w:val="1"/>
                <w:bCs w:val="1"/>
                <w:color w:val="auto"/>
              </w:rPr>
              <w:t>Claims and</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92"/>
              </w:rPr>
              <w:t>ratio</w:t>
            </w:r>
          </w:p>
        </w:tc>
        <w:tc>
          <w:tcPr>
            <w:tcW w:w="10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catastrophe</w:t>
            </w:r>
          </w:p>
        </w:tc>
      </w:tr>
      <w:tr>
        <w:trPr>
          <w:trHeight w:val="237"/>
        </w:trPr>
        <w:tc>
          <w:tcPr>
            <w:tcW w:w="3180" w:type="dxa"/>
            <w:vAlign w:val="bottom"/>
          </w:tcPr>
          <w:p>
            <w:pPr>
              <w:ind w:left="4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Number of events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6"/>
          </w:tcPr>
          <w:p>
            <w:pPr>
              <w:ind w:left="40"/>
              <w:spacing w:after="0"/>
              <w:rPr>
                <w:sz w:val="20"/>
                <w:szCs w:val="20"/>
                <w:color w:val="auto"/>
              </w:rPr>
            </w:pPr>
            <w:r>
              <w:rPr>
                <w:rFonts w:ascii="Arial" w:cs="Arial" w:eastAsia="Arial" w:hAnsi="Arial"/>
                <w:sz w:val="16"/>
                <w:szCs w:val="16"/>
                <w:b w:val="1"/>
                <w:bCs w:val="1"/>
                <w:color w:val="auto"/>
              </w:rPr>
              <w:t>claims expense</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center"/>
              <w:ind w:right="580"/>
              <w:spacing w:after="0"/>
              <w:rPr>
                <w:sz w:val="20"/>
                <w:szCs w:val="20"/>
                <w:color w:val="auto"/>
              </w:rPr>
            </w:pPr>
            <w:r>
              <w:rPr>
                <w:rFonts w:ascii="Arial" w:cs="Arial" w:eastAsia="Arial" w:hAnsi="Arial"/>
                <w:sz w:val="16"/>
                <w:szCs w:val="16"/>
                <w:b w:val="1"/>
                <w:bCs w:val="1"/>
                <w:color w:val="auto"/>
                <w:w w:val="92"/>
              </w:rPr>
              <w:t>impact</w:t>
            </w:r>
          </w:p>
        </w:tc>
        <w:tc>
          <w:tcPr>
            <w:tcW w:w="12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auto"/>
                <w:w w:val="92"/>
              </w:rPr>
              <w:t>loss per event</w:t>
            </w:r>
          </w:p>
        </w:tc>
      </w:tr>
      <w:tr>
        <w:trPr>
          <w:trHeight w:val="223"/>
        </w:trPr>
        <w:tc>
          <w:tcPr>
            <w:tcW w:w="3180" w:type="dxa"/>
            <w:vAlign w:val="bottom"/>
            <w:tcBorders>
              <w:top w:val="single" w:sz="8" w:color="005BA5"/>
            </w:tcBorders>
          </w:tcPr>
          <w:p>
            <w:pPr>
              <w:ind w:left="40"/>
              <w:spacing w:after="0"/>
              <w:rPr>
                <w:sz w:val="20"/>
                <w:szCs w:val="20"/>
                <w:color w:val="auto"/>
              </w:rPr>
            </w:pPr>
            <w:r>
              <w:rPr>
                <w:rFonts w:ascii="Arial" w:cs="Arial" w:eastAsia="Arial" w:hAnsi="Arial"/>
                <w:sz w:val="16"/>
                <w:szCs w:val="16"/>
                <w:b w:val="1"/>
                <w:bCs w:val="1"/>
                <w:color w:val="auto"/>
              </w:rPr>
              <w:t>Size of catastrophe loss</w:t>
            </w:r>
          </w:p>
        </w:tc>
        <w:tc>
          <w:tcPr>
            <w:tcW w:w="100" w:type="dxa"/>
            <w:vAlign w:val="bottom"/>
          </w:tcPr>
          <w:p>
            <w:pPr>
              <w:spacing w:after="0"/>
              <w:rPr>
                <w:sz w:val="19"/>
                <w:szCs w:val="19"/>
                <w:color w:val="auto"/>
              </w:rPr>
            </w:pPr>
          </w:p>
        </w:tc>
        <w:tc>
          <w:tcPr>
            <w:tcW w:w="1360" w:type="dxa"/>
            <w:vAlign w:val="bottom"/>
            <w:tcBorders>
              <w:top w:val="single" w:sz="8" w:color="005BA5"/>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005BA5"/>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005BA5"/>
            </w:tcBorders>
          </w:tcPr>
          <w:p>
            <w:pPr>
              <w:spacing w:after="0"/>
              <w:rPr>
                <w:sz w:val="19"/>
                <w:szCs w:val="19"/>
                <w:color w:val="auto"/>
              </w:rPr>
            </w:pPr>
          </w:p>
        </w:tc>
        <w:tc>
          <w:tcPr>
            <w:tcW w:w="320" w:type="dxa"/>
            <w:vAlign w:val="bottom"/>
            <w:tcBorders>
              <w:top w:val="single" w:sz="8" w:color="005BA5"/>
            </w:tcBorders>
          </w:tcPr>
          <w:p>
            <w:pPr>
              <w:spacing w:after="0"/>
              <w:rPr>
                <w:sz w:val="19"/>
                <w:szCs w:val="19"/>
                <w:color w:val="auto"/>
              </w:rPr>
            </w:pPr>
          </w:p>
        </w:tc>
        <w:tc>
          <w:tcPr>
            <w:tcW w:w="140" w:type="dxa"/>
            <w:vAlign w:val="bottom"/>
            <w:tcBorders>
              <w:top w:val="single" w:sz="8" w:color="005BA5"/>
            </w:tcBorders>
          </w:tcPr>
          <w:p>
            <w:pPr>
              <w:spacing w:after="0"/>
              <w:rPr>
                <w:sz w:val="19"/>
                <w:szCs w:val="19"/>
                <w:color w:val="auto"/>
              </w:rPr>
            </w:pPr>
          </w:p>
        </w:tc>
        <w:tc>
          <w:tcPr>
            <w:tcW w:w="760" w:type="dxa"/>
            <w:vAlign w:val="bottom"/>
            <w:tcBorders>
              <w:top w:val="single" w:sz="8" w:color="005BA5"/>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005BA5"/>
            </w:tcBorders>
          </w:tcPr>
          <w:p>
            <w:pPr>
              <w:spacing w:after="0"/>
              <w:rPr>
                <w:sz w:val="19"/>
                <w:szCs w:val="19"/>
                <w:color w:val="auto"/>
              </w:rPr>
            </w:pPr>
          </w:p>
        </w:tc>
        <w:tc>
          <w:tcPr>
            <w:tcW w:w="120" w:type="dxa"/>
            <w:vAlign w:val="bottom"/>
            <w:tcBorders>
              <w:top w:val="single" w:sz="8" w:color="005BA5"/>
            </w:tcBorders>
          </w:tcPr>
          <w:p>
            <w:pPr>
              <w:spacing w:after="0"/>
              <w:rPr>
                <w:sz w:val="19"/>
                <w:szCs w:val="19"/>
                <w:color w:val="auto"/>
              </w:rPr>
            </w:pPr>
          </w:p>
        </w:tc>
        <w:tc>
          <w:tcPr>
            <w:tcW w:w="120" w:type="dxa"/>
            <w:vAlign w:val="bottom"/>
            <w:tcBorders>
              <w:top w:val="single" w:sz="8" w:color="005BA5"/>
            </w:tcBorders>
          </w:tcPr>
          <w:p>
            <w:pPr>
              <w:spacing w:after="0"/>
              <w:rPr>
                <w:sz w:val="19"/>
                <w:szCs w:val="19"/>
                <w:color w:val="auto"/>
              </w:rPr>
            </w:pPr>
          </w:p>
        </w:tc>
        <w:tc>
          <w:tcPr>
            <w:tcW w:w="560" w:type="dxa"/>
            <w:vAlign w:val="bottom"/>
            <w:tcBorders>
              <w:top w:val="single" w:sz="8" w:color="005BA5"/>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005BA5"/>
            </w:tcBorders>
          </w:tcPr>
          <w:p>
            <w:pPr>
              <w:spacing w:after="0"/>
              <w:rPr>
                <w:sz w:val="19"/>
                <w:szCs w:val="19"/>
                <w:color w:val="auto"/>
              </w:rPr>
            </w:pPr>
          </w:p>
        </w:tc>
        <w:tc>
          <w:tcPr>
            <w:tcW w:w="120" w:type="dxa"/>
            <w:vAlign w:val="bottom"/>
            <w:tcBorders>
              <w:top w:val="single" w:sz="8" w:color="005BA5"/>
            </w:tcBorders>
          </w:tcPr>
          <w:p>
            <w:pPr>
              <w:spacing w:after="0"/>
              <w:rPr>
                <w:sz w:val="19"/>
                <w:szCs w:val="19"/>
                <w:color w:val="auto"/>
              </w:rPr>
            </w:pPr>
          </w:p>
        </w:tc>
        <w:tc>
          <w:tcPr>
            <w:tcW w:w="900" w:type="dxa"/>
            <w:vAlign w:val="bottom"/>
            <w:tcBorders>
              <w:top w:val="single" w:sz="8" w:color="005BA5"/>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005BA5"/>
            </w:tcBorders>
          </w:tcPr>
          <w:p>
            <w:pPr>
              <w:spacing w:after="0"/>
              <w:rPr>
                <w:sz w:val="19"/>
                <w:szCs w:val="19"/>
                <w:color w:val="auto"/>
              </w:rPr>
            </w:pPr>
          </w:p>
        </w:tc>
        <w:tc>
          <w:tcPr>
            <w:tcW w:w="100" w:type="dxa"/>
            <w:vAlign w:val="bottom"/>
            <w:tcBorders>
              <w:top w:val="single" w:sz="8" w:color="005BA5"/>
            </w:tcBorders>
          </w:tcPr>
          <w:p>
            <w:pPr>
              <w:spacing w:after="0"/>
              <w:rPr>
                <w:sz w:val="19"/>
                <w:szCs w:val="19"/>
                <w:color w:val="auto"/>
              </w:rPr>
            </w:pPr>
          </w:p>
        </w:tc>
        <w:tc>
          <w:tcPr>
            <w:tcW w:w="140" w:type="dxa"/>
            <w:vAlign w:val="bottom"/>
            <w:tcBorders>
              <w:top w:val="single" w:sz="8" w:color="005BA5"/>
            </w:tcBorders>
          </w:tcPr>
          <w:p>
            <w:pPr>
              <w:spacing w:after="0"/>
              <w:rPr>
                <w:sz w:val="19"/>
                <w:szCs w:val="19"/>
                <w:color w:val="auto"/>
              </w:rPr>
            </w:pPr>
          </w:p>
        </w:tc>
        <w:tc>
          <w:tcPr>
            <w:tcW w:w="980" w:type="dxa"/>
            <w:vAlign w:val="bottom"/>
            <w:tcBorders>
              <w:top w:val="single" w:sz="8" w:color="005BA5"/>
            </w:tcBorders>
          </w:tcPr>
          <w:p>
            <w:pPr>
              <w:spacing w:after="0"/>
              <w:rPr>
                <w:sz w:val="19"/>
                <w:szCs w:val="19"/>
                <w:color w:val="auto"/>
              </w:rPr>
            </w:pPr>
          </w:p>
        </w:tc>
      </w:tr>
      <w:tr>
        <w:trPr>
          <w:trHeight w:val="33"/>
        </w:trPr>
        <w:tc>
          <w:tcPr>
            <w:tcW w:w="31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7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3180" w:type="dxa"/>
            <w:vAlign w:val="bottom"/>
          </w:tcPr>
          <w:p>
            <w:pPr>
              <w:ind w:left="40"/>
              <w:spacing w:after="0"/>
              <w:rPr>
                <w:sz w:val="20"/>
                <w:szCs w:val="20"/>
                <w:color w:val="auto"/>
              </w:rPr>
            </w:pPr>
            <w:r>
              <w:rPr>
                <w:rFonts w:ascii="Arial" w:cs="Arial" w:eastAsia="Arial" w:hAnsi="Arial"/>
                <w:sz w:val="16"/>
                <w:szCs w:val="16"/>
                <w:color w:val="auto"/>
              </w:rPr>
              <w:t>Greater than $250 million</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4"/>
          </w:tcPr>
          <w:p>
            <w:pPr>
              <w:jc w:val="right"/>
              <w:ind w:righ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0" w:type="dxa"/>
            <w:vAlign w:val="bottom"/>
            <w:gridSpan w:val="3"/>
          </w:tcPr>
          <w:p>
            <w:pPr>
              <w:jc w:val="right"/>
              <w:ind w:right="4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7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3180" w:type="dxa"/>
            <w:vAlign w:val="bottom"/>
          </w:tcPr>
          <w:p>
            <w:pPr>
              <w:ind w:left="40"/>
              <w:spacing w:after="0"/>
              <w:rPr>
                <w:sz w:val="20"/>
                <w:szCs w:val="20"/>
                <w:color w:val="auto"/>
              </w:rPr>
            </w:pPr>
            <w:r>
              <w:rPr>
                <w:rFonts w:ascii="Arial" w:cs="Arial" w:eastAsia="Arial" w:hAnsi="Arial"/>
                <w:sz w:val="16"/>
                <w:szCs w:val="16"/>
                <w:color w:val="auto"/>
              </w:rPr>
              <w:t>$101 million to $250 million</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225</w:t>
            </w:r>
          </w:p>
        </w:tc>
      </w:tr>
      <w:tr>
        <w:trPr>
          <w:trHeight w:val="33"/>
        </w:trPr>
        <w:tc>
          <w:tcPr>
            <w:tcW w:w="31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7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3180" w:type="dxa"/>
            <w:vAlign w:val="bottom"/>
          </w:tcPr>
          <w:p>
            <w:pPr>
              <w:ind w:left="40"/>
              <w:spacing w:after="0"/>
              <w:rPr>
                <w:sz w:val="20"/>
                <w:szCs w:val="20"/>
                <w:color w:val="auto"/>
              </w:rPr>
            </w:pPr>
            <w:r>
              <w:rPr>
                <w:rFonts w:ascii="Arial" w:cs="Arial" w:eastAsia="Arial" w:hAnsi="Arial"/>
                <w:sz w:val="16"/>
                <w:szCs w:val="16"/>
                <w:color w:val="auto"/>
              </w:rPr>
              <w:t>$50 million to $100 million</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9"/>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33"/>
        </w:trPr>
        <w:tc>
          <w:tcPr>
            <w:tcW w:w="31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7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3180" w:type="dxa"/>
            <w:vAlign w:val="bottom"/>
          </w:tcPr>
          <w:p>
            <w:pPr>
              <w:ind w:left="40"/>
              <w:spacing w:after="0"/>
              <w:rPr>
                <w:sz w:val="20"/>
                <w:szCs w:val="20"/>
                <w:color w:val="auto"/>
              </w:rPr>
            </w:pPr>
            <w:r>
              <w:rPr>
                <w:rFonts w:ascii="Arial" w:cs="Arial" w:eastAsia="Arial" w:hAnsi="Arial"/>
                <w:sz w:val="16"/>
                <w:szCs w:val="16"/>
                <w:color w:val="auto"/>
              </w:rPr>
              <w:t>Less than $50 million</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26.0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31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7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3180" w:type="dxa"/>
            <w:vAlign w:val="bottom"/>
          </w:tcPr>
          <w:p>
            <w:pPr>
              <w:ind w:left="280"/>
              <w:spacing w:after="0"/>
              <w:rPr>
                <w:sz w:val="20"/>
                <w:szCs w:val="20"/>
                <w:color w:val="auto"/>
              </w:rPr>
            </w:pPr>
            <w:r>
              <w:rPr>
                <w:rFonts w:ascii="Arial" w:cs="Arial" w:eastAsia="Arial" w:hAnsi="Arial"/>
                <w:sz w:val="16"/>
                <w:szCs w:val="16"/>
                <w:b w:val="1"/>
                <w:bCs w:val="1"/>
                <w:color w:val="auto"/>
              </w:rPr>
              <w:t>Total</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627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92.2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29</w:t>
            </w:r>
          </w:p>
        </w:tc>
      </w:tr>
      <w:tr>
        <w:trPr>
          <w:trHeight w:val="33"/>
        </w:trPr>
        <w:tc>
          <w:tcPr>
            <w:tcW w:w="31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7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3180" w:type="dxa"/>
            <w:vAlign w:val="bottom"/>
          </w:tcPr>
          <w:p>
            <w:pPr>
              <w:ind w:left="40"/>
              <w:spacing w:after="0"/>
              <w:rPr>
                <w:sz w:val="20"/>
                <w:szCs w:val="20"/>
                <w:color w:val="auto"/>
              </w:rPr>
            </w:pPr>
            <w:r>
              <w:rPr>
                <w:rFonts w:ascii="Arial" w:cs="Arial" w:eastAsia="Arial" w:hAnsi="Arial"/>
                <w:sz w:val="16"/>
                <w:szCs w:val="16"/>
                <w:color w:val="auto"/>
              </w:rPr>
              <w:t>Prior year reserve reestimates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1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7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7"/>
        </w:trPr>
        <w:tc>
          <w:tcPr>
            <w:tcW w:w="3180" w:type="dxa"/>
            <w:vAlign w:val="bottom"/>
          </w:tcPr>
          <w:p>
            <w:pPr>
              <w:ind w:left="180"/>
              <w:spacing w:after="0"/>
              <w:rPr>
                <w:sz w:val="20"/>
                <w:szCs w:val="20"/>
                <w:color w:val="auto"/>
              </w:rPr>
            </w:pPr>
            <w:r>
              <w:rPr>
                <w:rFonts w:ascii="Arial" w:cs="Arial" w:eastAsia="Arial" w:hAnsi="Arial"/>
                <w:sz w:val="16"/>
                <w:szCs w:val="16"/>
                <w:b w:val="1"/>
                <w:bCs w:val="1"/>
                <w:color w:val="auto"/>
              </w:rPr>
              <w:t>Total catastrophe losses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c>
          <w:tcPr>
            <w:tcW w:w="12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680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5"/>
              </w:rPr>
              <w:t>100.0%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1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7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29"/>
        </w:trPr>
        <w:tc>
          <w:tcPr>
            <w:tcW w:w="3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r>
        <w:trPr>
          <w:trHeight w:val="230"/>
        </w:trPr>
        <w:tc>
          <w:tcPr>
            <w:tcW w:w="3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Catastrophe losses by the type of event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7"/>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8"/>
          </w:tcPr>
          <w:p>
            <w:pPr>
              <w:jc w:val="right"/>
              <w:ind w:right="120"/>
              <w:spacing w:after="0"/>
              <w:rPr>
                <w:sz w:val="20"/>
                <w:szCs w:val="20"/>
                <w:color w:val="auto"/>
              </w:rPr>
            </w:pPr>
            <w:r>
              <w:rPr>
                <w:rFonts w:ascii="Arial" w:cs="Arial" w:eastAsia="Arial" w:hAnsi="Arial"/>
                <w:sz w:val="16"/>
                <w:szCs w:val="16"/>
                <w:b w:val="1"/>
                <w:bCs w:val="1"/>
                <w:color w:val="auto"/>
                <w:w w:val="95"/>
              </w:rPr>
              <w:t>Three months ended March 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4"/>
          </w:tcPr>
          <w:p>
            <w:pPr>
              <w:ind w:left="280"/>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37"/>
        </w:trPr>
        <w:tc>
          <w:tcPr>
            <w:tcW w:w="31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Borders>
              <w:bottom w:val="single" w:sz="8" w:color="005BA5"/>
            </w:tcBorders>
          </w:tcPr>
          <w:p>
            <w:pPr>
              <w:spacing w:after="0"/>
              <w:rPr>
                <w:sz w:val="20"/>
                <w:szCs w:val="20"/>
                <w:color w:val="auto"/>
              </w:rPr>
            </w:pPr>
          </w:p>
        </w:tc>
        <w:tc>
          <w:tcPr>
            <w:tcW w:w="1360" w:type="dxa"/>
            <w:vAlign w:val="bottom"/>
            <w:tcBorders>
              <w:bottom w:val="single" w:sz="8" w:color="005BA5"/>
            </w:tcBorders>
          </w:tcPr>
          <w:p>
            <w:pPr>
              <w:spacing w:after="0"/>
              <w:rPr>
                <w:sz w:val="20"/>
                <w:szCs w:val="20"/>
                <w:color w:val="auto"/>
              </w:rPr>
            </w:pPr>
          </w:p>
        </w:tc>
        <w:tc>
          <w:tcPr>
            <w:tcW w:w="100" w:type="dxa"/>
            <w:vAlign w:val="bottom"/>
            <w:tcBorders>
              <w:bottom w:val="single" w:sz="8" w:color="005BA5"/>
            </w:tcBorders>
          </w:tcPr>
          <w:p>
            <w:pPr>
              <w:spacing w:after="0"/>
              <w:rPr>
                <w:sz w:val="20"/>
                <w:szCs w:val="20"/>
                <w:color w:val="auto"/>
              </w:rPr>
            </w:pPr>
          </w:p>
        </w:tc>
        <w:tc>
          <w:tcPr>
            <w:tcW w:w="1100" w:type="dxa"/>
            <w:vAlign w:val="bottom"/>
            <w:tcBorders>
              <w:bottom w:val="single" w:sz="8" w:color="005BA5"/>
            </w:tcBorders>
          </w:tcPr>
          <w:p>
            <w:pPr>
              <w:spacing w:after="0"/>
              <w:rPr>
                <w:sz w:val="20"/>
                <w:szCs w:val="20"/>
                <w:color w:val="auto"/>
              </w:rPr>
            </w:pPr>
          </w:p>
        </w:tc>
        <w:tc>
          <w:tcPr>
            <w:tcW w:w="120" w:type="dxa"/>
            <w:vAlign w:val="bottom"/>
            <w:tcBorders>
              <w:bottom w:val="single" w:sz="8" w:color="005BA5"/>
            </w:tcBorders>
          </w:tcPr>
          <w:p>
            <w:pPr>
              <w:spacing w:after="0"/>
              <w:rPr>
                <w:sz w:val="20"/>
                <w:szCs w:val="20"/>
                <w:color w:val="auto"/>
              </w:rPr>
            </w:pPr>
          </w:p>
        </w:tc>
        <w:tc>
          <w:tcPr>
            <w:tcW w:w="120" w:type="dxa"/>
            <w:vAlign w:val="bottom"/>
            <w:tcBorders>
              <w:bottom w:val="single" w:sz="8" w:color="005BA5"/>
            </w:tcBorders>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bottom w:val="single" w:sz="8" w:color="005BA5"/>
            </w:tcBorders>
            <w:gridSpan w:val="3"/>
          </w:tcPr>
          <w:p>
            <w:pPr>
              <w:jc w:val="right"/>
              <w:ind w:right="199"/>
              <w:spacing w:after="0"/>
              <w:rPr>
                <w:sz w:val="20"/>
                <w:szCs w:val="20"/>
                <w:color w:val="auto"/>
              </w:rPr>
            </w:pPr>
            <w:r>
              <w:rPr>
                <w:rFonts w:ascii="Arial" w:cs="Arial" w:eastAsia="Arial" w:hAnsi="Arial"/>
                <w:sz w:val="16"/>
                <w:szCs w:val="16"/>
                <w:b w:val="1"/>
                <w:bCs w:val="1"/>
                <w:color w:val="auto"/>
              </w:rPr>
              <w:t>of events</w:t>
            </w:r>
          </w:p>
        </w:tc>
        <w:tc>
          <w:tcPr>
            <w:tcW w:w="120" w:type="dxa"/>
            <w:vAlign w:val="bottom"/>
          </w:tcPr>
          <w:p>
            <w:pPr>
              <w:spacing w:after="0"/>
              <w:rPr>
                <w:sz w:val="20"/>
                <w:szCs w:val="20"/>
                <w:color w:val="auto"/>
              </w:rPr>
            </w:pPr>
          </w:p>
        </w:tc>
        <w:tc>
          <w:tcPr>
            <w:tcW w:w="120" w:type="dxa"/>
            <w:vAlign w:val="bottom"/>
            <w:tcBorders>
              <w:bottom w:val="single" w:sz="8" w:color="005BA5"/>
            </w:tcBorders>
          </w:tcPr>
          <w:p>
            <w:pPr>
              <w:spacing w:after="0"/>
              <w:rPr>
                <w:sz w:val="20"/>
                <w:szCs w:val="20"/>
                <w:color w:val="auto"/>
              </w:rPr>
            </w:pPr>
          </w:p>
        </w:tc>
        <w:tc>
          <w:tcPr>
            <w:tcW w:w="680" w:type="dxa"/>
            <w:vAlign w:val="bottom"/>
            <w:tcBorders>
              <w:bottom w:val="single" w:sz="8" w:color="005BA5"/>
            </w:tcBorders>
            <w:gridSpan w:val="2"/>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320" w:type="dxa"/>
            <w:vAlign w:val="bottom"/>
            <w:tcBorders>
              <w:bottom w:val="single" w:sz="8" w:color="005BA5"/>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005BA5"/>
            </w:tcBorders>
            <w:gridSpan w:val="3"/>
          </w:tcPr>
          <w:p>
            <w:pPr>
              <w:jc w:val="right"/>
              <w:ind w:right="360"/>
              <w:spacing w:after="0"/>
              <w:rPr>
                <w:sz w:val="20"/>
                <w:szCs w:val="20"/>
                <w:color w:val="auto"/>
              </w:rPr>
            </w:pPr>
            <w:r>
              <w:rPr>
                <w:rFonts w:ascii="Arial" w:cs="Arial" w:eastAsia="Arial" w:hAnsi="Arial"/>
                <w:sz w:val="16"/>
                <w:szCs w:val="16"/>
                <w:b w:val="1"/>
                <w:bCs w:val="1"/>
                <w:color w:val="auto"/>
              </w:rPr>
              <w:t>events</w:t>
            </w:r>
          </w:p>
        </w:tc>
        <w:tc>
          <w:tcPr>
            <w:tcW w:w="100" w:type="dxa"/>
            <w:vAlign w:val="bottom"/>
          </w:tcPr>
          <w:p>
            <w:pPr>
              <w:spacing w:after="0"/>
              <w:rPr>
                <w:sz w:val="20"/>
                <w:szCs w:val="20"/>
                <w:color w:val="auto"/>
              </w:rPr>
            </w:pPr>
          </w:p>
        </w:tc>
        <w:tc>
          <w:tcPr>
            <w:tcW w:w="140" w:type="dxa"/>
            <w:vAlign w:val="bottom"/>
            <w:tcBorders>
              <w:bottom w:val="single" w:sz="8" w:color="005BA5"/>
            </w:tcBorders>
          </w:tcPr>
          <w:p>
            <w:pPr>
              <w:spacing w:after="0"/>
              <w:rPr>
                <w:sz w:val="20"/>
                <w:szCs w:val="20"/>
                <w:color w:val="auto"/>
              </w:rPr>
            </w:pPr>
          </w:p>
        </w:tc>
        <w:tc>
          <w:tcPr>
            <w:tcW w:w="980" w:type="dxa"/>
            <w:vAlign w:val="bottom"/>
            <w:tcBorders>
              <w:bottom w:val="single" w:sz="8" w:color="005BA5"/>
            </w:tcBorders>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223"/>
        </w:trPr>
        <w:tc>
          <w:tcPr>
            <w:tcW w:w="3180" w:type="dxa"/>
            <w:vAlign w:val="bottom"/>
          </w:tcPr>
          <w:p>
            <w:pPr>
              <w:ind w:left="40"/>
              <w:spacing w:after="0"/>
              <w:rPr>
                <w:sz w:val="20"/>
                <w:szCs w:val="20"/>
                <w:color w:val="auto"/>
              </w:rPr>
            </w:pPr>
            <w:r>
              <w:rPr>
                <w:rFonts w:ascii="Arial" w:cs="Arial" w:eastAsia="Arial" w:hAnsi="Arial"/>
                <w:sz w:val="16"/>
                <w:szCs w:val="16"/>
                <w:color w:val="auto"/>
              </w:rPr>
              <w:t>Hurricanes/Tropical storms</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CACAC"/>
            </w:tcBorders>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gridSpan w:val="3"/>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3180" w:type="dxa"/>
            <w:vAlign w:val="bottom"/>
          </w:tcPr>
          <w:p>
            <w:pPr>
              <w:ind w:left="40"/>
              <w:spacing w:after="0"/>
              <w:rPr>
                <w:sz w:val="20"/>
                <w:szCs w:val="20"/>
                <w:color w:val="auto"/>
              </w:rPr>
            </w:pPr>
            <w:r>
              <w:rPr>
                <w:rFonts w:ascii="Arial" w:cs="Arial" w:eastAsia="Arial" w:hAnsi="Arial"/>
                <w:sz w:val="16"/>
                <w:szCs w:val="16"/>
                <w:color w:val="auto"/>
              </w:rPr>
              <w:t>Tornadoes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5"/>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CACAC"/>
            </w:tcBorders>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gridSpan w:val="3"/>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3180" w:type="dxa"/>
            <w:vAlign w:val="bottom"/>
          </w:tcPr>
          <w:p>
            <w:pPr>
              <w:ind w:left="40"/>
              <w:spacing w:after="0"/>
              <w:rPr>
                <w:sz w:val="20"/>
                <w:szCs w:val="20"/>
                <w:color w:val="auto"/>
              </w:rPr>
            </w:pPr>
            <w:r>
              <w:rPr>
                <w:rFonts w:ascii="Arial" w:cs="Arial" w:eastAsia="Arial" w:hAnsi="Arial"/>
                <w:sz w:val="16"/>
                <w:szCs w:val="16"/>
                <w:color w:val="auto"/>
              </w:rPr>
              <w:t>Wind/Hail</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5"/>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6"/>
                <w:szCs w:val="16"/>
                <w:color w:val="auto"/>
              </w:rPr>
              <w:t>484</w:t>
            </w:r>
          </w:p>
        </w:tc>
        <w:tc>
          <w:tcPr>
            <w:tcW w:w="1260" w:type="dxa"/>
            <w:vAlign w:val="bottom"/>
            <w:gridSpan w:val="4"/>
          </w:tcPr>
          <w:p>
            <w:pPr>
              <w:jc w:val="right"/>
              <w:ind w:right="120"/>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255</w:t>
            </w:r>
          </w:p>
        </w:tc>
      </w:tr>
      <w:tr>
        <w:trPr>
          <w:trHeight w:val="33"/>
        </w:trPr>
        <w:tc>
          <w:tcPr>
            <w:tcW w:w="31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56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3180" w:type="dxa"/>
            <w:vAlign w:val="bottom"/>
          </w:tcPr>
          <w:p>
            <w:pPr>
              <w:ind w:left="40"/>
              <w:spacing w:after="0"/>
              <w:rPr>
                <w:sz w:val="20"/>
                <w:szCs w:val="20"/>
                <w:color w:val="auto"/>
              </w:rPr>
            </w:pPr>
            <w:r>
              <w:rPr>
                <w:rFonts w:ascii="Arial" w:cs="Arial" w:eastAsia="Arial" w:hAnsi="Arial"/>
                <w:sz w:val="16"/>
                <w:szCs w:val="16"/>
                <w:color w:val="auto"/>
              </w:rPr>
              <w:t>Wildfires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CACAC"/>
            </w:tcBorders>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gridSpan w:val="3"/>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17"/>
        </w:trPr>
        <w:tc>
          <w:tcPr>
            <w:tcW w:w="3180" w:type="dxa"/>
            <w:vAlign w:val="bottom"/>
          </w:tcPr>
          <w:p>
            <w:pPr>
              <w:ind w:left="40"/>
              <w:spacing w:after="0"/>
              <w:rPr>
                <w:sz w:val="20"/>
                <w:szCs w:val="20"/>
                <w:color w:val="auto"/>
              </w:rPr>
            </w:pPr>
            <w:r>
              <w:rPr>
                <w:rFonts w:ascii="Arial" w:cs="Arial" w:eastAsia="Arial" w:hAnsi="Arial"/>
                <w:sz w:val="16"/>
                <w:szCs w:val="16"/>
                <w:color w:val="auto"/>
              </w:rPr>
              <w:t>Other events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5"/>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6"/>
                <w:szCs w:val="16"/>
                <w:color w:val="auto"/>
              </w:rPr>
              <w:t>124</w:t>
            </w:r>
          </w:p>
        </w:tc>
        <w:tc>
          <w:tcPr>
            <w:tcW w:w="1260" w:type="dxa"/>
            <w:vAlign w:val="bottom"/>
            <w:gridSpan w:val="4"/>
          </w:tcPr>
          <w:p>
            <w:pPr>
              <w:jc w:val="right"/>
              <w:ind w:right="1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318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gridSpan w:val="3"/>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r>
      <w:tr>
        <w:trPr>
          <w:trHeight w:val="231"/>
        </w:trPr>
        <w:tc>
          <w:tcPr>
            <w:tcW w:w="3180" w:type="dxa"/>
            <w:vAlign w:val="bottom"/>
          </w:tcPr>
          <w:p>
            <w:pPr>
              <w:ind w:left="40"/>
              <w:spacing w:after="0"/>
              <w:rPr>
                <w:sz w:val="20"/>
                <w:szCs w:val="20"/>
                <w:color w:val="auto"/>
              </w:rPr>
            </w:pPr>
            <w:r>
              <w:rPr>
                <w:rFonts w:ascii="Arial" w:cs="Arial" w:eastAsia="Arial" w:hAnsi="Arial"/>
                <w:sz w:val="16"/>
                <w:szCs w:val="16"/>
                <w:color w:val="auto"/>
              </w:rPr>
              <w:t>Prior year reserve reestimates</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31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36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Borders>
              <w:bottom w:val="single" w:sz="8" w:color="ACACAC"/>
            </w:tcBorders>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gridSpan w:val="3"/>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005BA5"/>
            </w:tcBorders>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r>
        <w:trPr>
          <w:trHeight w:val="217"/>
        </w:trPr>
        <w:tc>
          <w:tcPr>
            <w:tcW w:w="3180" w:type="dxa"/>
            <w:vAlign w:val="bottom"/>
          </w:tcPr>
          <w:p>
            <w:pPr>
              <w:ind w:left="180"/>
              <w:spacing w:after="0"/>
              <w:rPr>
                <w:sz w:val="20"/>
                <w:szCs w:val="20"/>
                <w:color w:val="auto"/>
              </w:rPr>
            </w:pPr>
            <w:r>
              <w:rPr>
                <w:rFonts w:ascii="Arial" w:cs="Arial" w:eastAsia="Arial" w:hAnsi="Arial"/>
                <w:sz w:val="16"/>
                <w:szCs w:val="16"/>
                <w:b w:val="1"/>
                <w:bCs w:val="1"/>
                <w:color w:val="auto"/>
              </w:rPr>
              <w:t>Total catastrophe losses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680</w:t>
            </w:r>
          </w:p>
        </w:tc>
        <w:tc>
          <w:tcPr>
            <w:tcW w:w="126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11</w:t>
            </w:r>
          </w:p>
        </w:tc>
        <w:tc>
          <w:tcPr>
            <w:tcW w:w="240" w:type="dxa"/>
            <w:vAlign w:val="bottom"/>
            <w:gridSpan w:val="2"/>
          </w:tcPr>
          <w:p>
            <w:pPr>
              <w:ind w:left="120"/>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361</w:t>
            </w:r>
          </w:p>
        </w:tc>
      </w:tr>
      <w:tr>
        <w:trPr>
          <w:trHeight w:val="33"/>
        </w:trPr>
        <w:tc>
          <w:tcPr>
            <w:tcW w:w="318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36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56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r>
    </w:tbl>
    <w:p>
      <w:pPr>
        <w:spacing w:after="0" w:line="90" w:lineRule="exact"/>
        <w:rPr>
          <w:sz w:val="20"/>
          <w:szCs w:val="20"/>
          <w:color w:val="auto"/>
        </w:rPr>
      </w:pPr>
    </w:p>
    <w:p>
      <w:pPr>
        <w:sectPr>
          <w:pgSz w:w="11900" w:h="16838" w:orient="portrait"/>
          <w:cols w:equalWidth="0" w:num="1">
            <w:col w:w="11420"/>
          </w:cols>
          <w:pgMar w:left="240" w:top="141" w:right="239" w:bottom="1440" w:gutter="0" w:footer="0" w:header="0"/>
          <w:type w:val="continuous"/>
        </w:sectPr>
      </w:pPr>
    </w:p>
    <w:p>
      <w:pPr>
        <w:ind w:firstLine="324"/>
        <w:spacing w:after="0" w:line="252" w:lineRule="auto"/>
        <w:rPr>
          <w:sz w:val="20"/>
          <w:szCs w:val="20"/>
          <w:color w:val="auto"/>
        </w:rPr>
      </w:pPr>
      <w:r>
        <w:rPr>
          <w:rFonts w:ascii="Arial" w:cs="Arial" w:eastAsia="Arial" w:hAnsi="Arial"/>
          <w:sz w:val="16"/>
          <w:szCs w:val="16"/>
          <w:b w:val="1"/>
          <w:bCs w:val="1"/>
          <w:color w:val="1666AF"/>
        </w:rPr>
        <w:t xml:space="preserve">Catastrophe reinsurance </w:t>
      </w:r>
      <w:r>
        <w:rPr>
          <w:rFonts w:ascii="Arial" w:cs="Arial" w:eastAsia="Arial" w:hAnsi="Arial"/>
          <w:sz w:val="16"/>
          <w:szCs w:val="16"/>
          <w:color w:val="000000"/>
        </w:rPr>
        <w:t>Our current catastrophe reinsurance</w:t>
      </w:r>
      <w:r>
        <w:rPr>
          <w:rFonts w:ascii="Arial" w:cs="Arial" w:eastAsia="Arial" w:hAnsi="Arial"/>
          <w:sz w:val="16"/>
          <w:szCs w:val="16"/>
          <w:b w:val="1"/>
          <w:bCs w:val="1"/>
          <w:color w:val="1666AF"/>
        </w:rPr>
        <w:t xml:space="preserve"> </w:t>
      </w:r>
      <w:r>
        <w:rPr>
          <w:rFonts w:ascii="Arial" w:cs="Arial" w:eastAsia="Arial" w:hAnsi="Arial"/>
          <w:sz w:val="16"/>
          <w:szCs w:val="16"/>
          <w:color w:val="000000"/>
        </w:rPr>
        <w:t>program supports our risk tolerance framework that targets less than a 1% likelihood of annual aggregate catastrophe losses from hurricanes and earthquakes, net of reinsurance, exceeding $2 billion. We have substantially completed the placement of our 2019 catastrophe reinsurance program, except for the Florida property component of the program and the Florida and Southeast Auto Aggregate Excess Catastrophe Reinsurance Contract, both of which are expected to be placed in the second quarter of 2019.</w:t>
      </w:r>
    </w:p>
    <w:p>
      <w:pPr>
        <w:spacing w:after="0" w:line="95" w:lineRule="exact"/>
        <w:rPr>
          <w:sz w:val="20"/>
          <w:szCs w:val="20"/>
          <w:color w:val="auto"/>
        </w:rPr>
      </w:pPr>
    </w:p>
    <w:p>
      <w:pPr>
        <w:ind w:right="160" w:firstLine="324"/>
        <w:spacing w:after="0" w:line="253" w:lineRule="auto"/>
        <w:rPr>
          <w:sz w:val="20"/>
          <w:szCs w:val="20"/>
          <w:color w:val="auto"/>
        </w:rPr>
      </w:pPr>
      <w:r>
        <w:rPr>
          <w:rFonts w:ascii="Arial" w:cs="Arial" w:eastAsia="Arial" w:hAnsi="Arial"/>
          <w:sz w:val="16"/>
          <w:szCs w:val="16"/>
          <w:color w:val="auto"/>
        </w:rPr>
        <w:t>Similar to our 2018 program, our 2019 program includes coverage for losses to personal lines property, personal lines automobile, commercial lines property or commercial lines automobile arising out of multiple</w:t>
      </w:r>
    </w:p>
    <w:p>
      <w:pPr>
        <w:spacing w:after="0" w:line="20" w:lineRule="exact"/>
        <w:rPr>
          <w:sz w:val="20"/>
          <w:szCs w:val="20"/>
          <w:color w:val="auto"/>
        </w:rPr>
      </w:pPr>
      <w:r>
        <w:rPr>
          <w:sz w:val="20"/>
          <w:szCs w:val="20"/>
          <w:color w:val="auto"/>
        </w:rPr>
        <w:br w:type="column"/>
      </w:r>
    </w:p>
    <w:p>
      <w:pPr>
        <w:ind w:right="40"/>
        <w:spacing w:after="0" w:line="250" w:lineRule="auto"/>
        <w:rPr>
          <w:sz w:val="20"/>
          <w:szCs w:val="20"/>
          <w:color w:val="auto"/>
        </w:rPr>
      </w:pPr>
      <w:r>
        <w:rPr>
          <w:rFonts w:ascii="Arial" w:cs="Arial" w:eastAsia="Arial" w:hAnsi="Arial"/>
          <w:sz w:val="16"/>
          <w:szCs w:val="16"/>
          <w:color w:val="auto"/>
        </w:rPr>
        <w:t>perils, in addition to hurricanes and earthquakes. We have three agreements placed in the insurance linked securities (“ILS”) market, forming part of our nationwide reinsurance program that do not cover commercial lines property and commercial lines automobile. We also have a separate agreement covering personal lines property policies issued in Kentucky.</w:t>
      </w:r>
    </w:p>
    <w:p>
      <w:pPr>
        <w:spacing w:after="0" w:line="95" w:lineRule="exact"/>
        <w:rPr>
          <w:sz w:val="20"/>
          <w:szCs w:val="20"/>
          <w:color w:val="auto"/>
        </w:rPr>
      </w:pPr>
    </w:p>
    <w:p>
      <w:pPr>
        <w:ind w:right="20" w:firstLine="324"/>
        <w:spacing w:after="0" w:line="248" w:lineRule="auto"/>
        <w:rPr>
          <w:sz w:val="20"/>
          <w:szCs w:val="20"/>
          <w:color w:val="auto"/>
        </w:rPr>
      </w:pPr>
      <w:r>
        <w:rPr>
          <w:rFonts w:ascii="Arial" w:cs="Arial" w:eastAsia="Arial" w:hAnsi="Arial"/>
          <w:sz w:val="16"/>
          <w:szCs w:val="16"/>
          <w:color w:val="auto"/>
        </w:rPr>
        <w:t>The June 1, 2019 nationwide reinsurance program, provides $4.9 billion of reinsurance limits, less a $500 million retention, subject to the percentage of reinsurance placed in each of its nine layers. Property business in the state of Florida and the two existing New Jersey contracts are excluded from this program. Separate reinsurance agreements address the distinct needs of our separately capitalized legal entity. The nationwide reinsurance program includes reinsurance</w:t>
      </w:r>
    </w:p>
    <w:p>
      <w:pPr>
        <w:spacing w:after="0" w:line="200" w:lineRule="exact"/>
        <w:rPr>
          <w:sz w:val="20"/>
          <w:szCs w:val="20"/>
          <w:color w:val="auto"/>
        </w:rPr>
      </w:pPr>
    </w:p>
    <w:p>
      <w:pPr>
        <w:sectPr>
          <w:pgSz w:w="11900" w:h="16838" w:orient="portrait"/>
          <w:cols w:equalWidth="0" w:num="2">
            <w:col w:w="5460" w:space="480"/>
            <w:col w:w="5480"/>
          </w:cols>
          <w:pgMar w:left="240" w:top="141" w:right="2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56 </w:t>
      </w:r>
      <w:r>
        <w:rPr>
          <w:sz w:val="1"/>
          <w:szCs w:val="1"/>
          <w:color w:val="auto"/>
        </w:rPr>
        <w:drawing>
          <wp:inline distT="0" distB="0" distL="0" distR="0">
            <wp:extent cx="111760" cy="1117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60" w:name="page61"/>
    <w:bookmarkEnd w:id="60"/>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agreements with both the traditional and ILS markets as described below:</w:t>
      </w:r>
    </w:p>
    <w:p>
      <w:pPr>
        <w:spacing w:after="0" w:line="97" w:lineRule="exact"/>
        <w:rPr>
          <w:sz w:val="20"/>
          <w:szCs w:val="20"/>
          <w:color w:val="auto"/>
        </w:rPr>
      </w:pPr>
    </w:p>
    <w:p>
      <w:pPr>
        <w:ind w:right="40" w:firstLine="324"/>
        <w:spacing w:after="0" w:line="255" w:lineRule="auto"/>
        <w:rPr>
          <w:sz w:val="20"/>
          <w:szCs w:val="20"/>
          <w:color w:val="auto"/>
        </w:rPr>
      </w:pPr>
      <w:r>
        <w:rPr>
          <w:rFonts w:ascii="Arial" w:cs="Arial" w:eastAsia="Arial" w:hAnsi="Arial"/>
          <w:sz w:val="16"/>
          <w:szCs w:val="16"/>
          <w:i w:val="1"/>
          <w:iCs w:val="1"/>
          <w:color w:val="1666AF"/>
        </w:rPr>
        <w:t xml:space="preserve">The traditional market </w:t>
      </w:r>
      <w:r>
        <w:rPr>
          <w:rFonts w:ascii="Arial" w:cs="Arial" w:eastAsia="Arial" w:hAnsi="Arial"/>
          <w:sz w:val="16"/>
          <w:szCs w:val="16"/>
          <w:color w:val="000000"/>
        </w:rPr>
        <w:t>placement provides limits totaling $3.0 billion for</w:t>
      </w:r>
      <w:r>
        <w:rPr>
          <w:rFonts w:ascii="Arial" w:cs="Arial" w:eastAsia="Arial" w:hAnsi="Arial"/>
          <w:sz w:val="16"/>
          <w:szCs w:val="16"/>
          <w:i w:val="1"/>
          <w:iCs w:val="1"/>
          <w:color w:val="1666AF"/>
        </w:rPr>
        <w:t xml:space="preserve"> </w:t>
      </w:r>
      <w:r>
        <w:rPr>
          <w:rFonts w:ascii="Arial" w:cs="Arial" w:eastAsia="Arial" w:hAnsi="Arial"/>
          <w:sz w:val="16"/>
          <w:szCs w:val="16"/>
          <w:color w:val="000000"/>
        </w:rPr>
        <w:t>losses arising out of multiple perils and is comprised of $2.1 billion of limits with one annual reinstatement of limits; $439 million of limits with one reinstatement of limits over a seven year term; and $419 million of limits not subject to reinstatement.</w:t>
      </w:r>
    </w:p>
    <w:p>
      <w:pPr>
        <w:spacing w:after="0" w:line="76"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i w:val="1"/>
          <w:iCs w:val="1"/>
          <w:color w:val="1666AF"/>
        </w:rPr>
        <w:t xml:space="preserve">ILS placements </w:t>
      </w:r>
      <w:r>
        <w:rPr>
          <w:rFonts w:ascii="Arial" w:cs="Arial" w:eastAsia="Arial" w:hAnsi="Arial"/>
          <w:sz w:val="16"/>
          <w:szCs w:val="16"/>
          <w:color w:val="000000"/>
        </w:rPr>
        <w:t>provide $1.2 billion of limits, with no reinstatement of</w:t>
      </w:r>
      <w:r>
        <w:rPr>
          <w:rFonts w:ascii="Arial" w:cs="Arial" w:eastAsia="Arial" w:hAnsi="Arial"/>
          <w:sz w:val="16"/>
          <w:szCs w:val="16"/>
          <w:i w:val="1"/>
          <w:iCs w:val="1"/>
          <w:color w:val="1666AF"/>
        </w:rPr>
        <w:t xml:space="preserve"> </w:t>
      </w:r>
      <w:r>
        <w:rPr>
          <w:rFonts w:ascii="Arial" w:cs="Arial" w:eastAsia="Arial" w:hAnsi="Arial"/>
          <w:sz w:val="16"/>
          <w:szCs w:val="16"/>
          <w:color w:val="000000"/>
        </w:rPr>
        <w:t>the limits, and are comprised of a $375 million placement reinsuring losses in all states except Florida caused by named storms, earthquakes and fire following earthquakes, severe thunderstorms, winter storms, volcanic eruptions, and meteorite impacts and $500 million and $300 million placements reinsuring losses in all states except Florida property caused by named storms, earthquakes and fire following earthquakes, severe weather, wildfires, and other naturally occurring or man-made events determined to be a catastrophe by the Company. The $500 million and $300 million placements also provide that for each annual period beginning April 1, Allstate declared catastrophes to personal lines property and automobile business can be aggregated to erode the aggregate retention and qualify for coverage under the aggregate limit. Recoveries are limited to our ultimate net loss from the reinsured event.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 xml:space="preserve">Allstate Protection </w:t>
      </w:r>
      <w:r>
        <w:rPr>
          <w:rFonts w:ascii="Arial" w:cs="Arial" w:eastAsia="Arial" w:hAnsi="Arial"/>
          <w:sz w:val="16"/>
          <w:szCs w:val="16"/>
          <w:color w:val="005BA5"/>
        </w:rPr>
        <w:t>Segment Results</w:t>
      </w:r>
    </w:p>
    <w:p>
      <w:pPr>
        <w:spacing w:after="0" w:line="356" w:lineRule="exact"/>
        <w:rPr>
          <w:sz w:val="20"/>
          <w:szCs w:val="20"/>
          <w:color w:val="auto"/>
        </w:rPr>
      </w:pPr>
    </w:p>
    <w:p>
      <w:pPr>
        <w:ind w:right="200" w:firstLine="324"/>
        <w:spacing w:after="0" w:line="248" w:lineRule="auto"/>
        <w:rPr>
          <w:sz w:val="20"/>
          <w:szCs w:val="20"/>
          <w:color w:val="auto"/>
        </w:rPr>
      </w:pPr>
      <w:r>
        <w:rPr>
          <w:rFonts w:ascii="Arial" w:cs="Arial" w:eastAsia="Arial" w:hAnsi="Arial"/>
          <w:sz w:val="16"/>
          <w:szCs w:val="16"/>
          <w:color w:val="auto"/>
        </w:rPr>
        <w:t>The New Jersey agreement comprises three contracts that reinsure personal lines property and automobile catastrophe losses caused by multiple perils in New Jersey and provides 95% of $400 million of limits in excess of provisional retentions of approximately $150 million. Each contract includes one annual reinstatement of limits. The New Jersey contracts will begin inuring to portions of the Nationwide Program with the contracts effective June 1, 2019.</w:t>
      </w:r>
    </w:p>
    <w:p>
      <w:pPr>
        <w:spacing w:after="0" w:line="101" w:lineRule="exact"/>
        <w:rPr>
          <w:sz w:val="20"/>
          <w:szCs w:val="20"/>
          <w:color w:val="auto"/>
        </w:rPr>
      </w:pPr>
    </w:p>
    <w:p>
      <w:pPr>
        <w:ind w:right="220" w:firstLine="324"/>
        <w:spacing w:after="0" w:line="251" w:lineRule="auto"/>
        <w:rPr>
          <w:sz w:val="20"/>
          <w:szCs w:val="20"/>
          <w:color w:val="auto"/>
        </w:rPr>
      </w:pPr>
      <w:r>
        <w:rPr>
          <w:rFonts w:ascii="Arial" w:cs="Arial" w:eastAsia="Arial" w:hAnsi="Arial"/>
          <w:sz w:val="16"/>
          <w:szCs w:val="16"/>
          <w:color w:val="auto"/>
        </w:rPr>
        <w:t>The Kentucky earthquake agreement comprises a three-year term contract that reinsures personal lines property losses caused by earthquakes and fire following earthquakes in Kentucky and provides $28 million of limits, 95% placed, in excess of a $2 million retention.</w:t>
      </w:r>
    </w:p>
    <w:p>
      <w:pPr>
        <w:spacing w:after="0" w:line="95" w:lineRule="exact"/>
        <w:rPr>
          <w:sz w:val="20"/>
          <w:szCs w:val="20"/>
          <w:color w:val="auto"/>
        </w:rPr>
      </w:pPr>
    </w:p>
    <w:p>
      <w:pPr>
        <w:ind w:right="80" w:firstLine="324"/>
        <w:spacing w:after="0" w:line="251" w:lineRule="auto"/>
        <w:rPr>
          <w:sz w:val="20"/>
          <w:szCs w:val="20"/>
          <w:color w:val="auto"/>
        </w:rPr>
      </w:pPr>
      <w:r>
        <w:rPr>
          <w:rFonts w:ascii="Arial" w:cs="Arial" w:eastAsia="Arial" w:hAnsi="Arial"/>
          <w:sz w:val="16"/>
          <w:szCs w:val="16"/>
          <w:color w:val="auto"/>
        </w:rPr>
        <w:t>The total cost of our property catastrophe reinsurance programs during the first quarter of 2019 and 2018 were $88 million and $85 million, respectively. The total cost of our catastrophe reinsurance programs during 2018 was $354 million or an average quarterly cost of $89 million.</w:t>
      </w:r>
    </w:p>
    <w:p>
      <w:pPr>
        <w:spacing w:after="0" w:line="1128" w:lineRule="exact"/>
        <w:rPr>
          <w:sz w:val="20"/>
          <w:szCs w:val="20"/>
          <w:color w:val="auto"/>
        </w:rPr>
      </w:pPr>
    </w:p>
    <w:p>
      <w:pPr>
        <w:sectPr>
          <w:pgSz w:w="11900" w:h="16838" w:orient="portrait"/>
          <w:cols w:equalWidth="0" w:num="2">
            <w:col w:w="5460" w:space="480"/>
            <w:col w:w="5480"/>
          </w:cols>
          <w:pgMar w:left="240" w:top="141" w:right="239" w:bottom="1440" w:gutter="0" w:footer="0" w:header="0"/>
        </w:sectPr>
      </w:pPr>
    </w:p>
    <w:p>
      <w:pPr>
        <w:ind w:left="340"/>
        <w:spacing w:after="0"/>
        <w:rPr>
          <w:sz w:val="20"/>
          <w:szCs w:val="20"/>
          <w:color w:val="auto"/>
        </w:rPr>
      </w:pPr>
      <w:r>
        <w:rPr>
          <w:rFonts w:ascii="Arial" w:cs="Arial" w:eastAsia="Arial" w:hAnsi="Arial"/>
          <w:sz w:val="16"/>
          <w:szCs w:val="16"/>
          <w:b w:val="1"/>
          <w:bCs w:val="1"/>
          <w:color w:val="1666AF"/>
        </w:rPr>
        <w:t xml:space="preserve">Expense ratio </w:t>
      </w:r>
      <w:r>
        <w:rPr>
          <w:rFonts w:ascii="Arial" w:cs="Arial" w:eastAsia="Arial" w:hAnsi="Arial"/>
          <w:sz w:val="16"/>
          <w:szCs w:val="16"/>
          <w:color w:val="000000"/>
        </w:rPr>
        <w:t>decreased 0.2 points in the first quarter of 2019 compared to the same period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Expense ratios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109"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Homeowners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personal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Commercial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Total expense ratio </w:t>
      </w:r>
      <w:r>
        <w:rPr>
          <w:rFonts w:ascii="Arial" w:cs="Arial" w:eastAsia="Arial" w:hAnsi="Arial"/>
          <w:sz w:val="20"/>
          <w:szCs w:val="20"/>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3682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52070</wp:posOffset>
            </wp:positionV>
            <wp:extent cx="87503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45085</wp:posOffset>
            </wp:positionV>
            <wp:extent cx="85788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3">
            <w:col w:w="8840" w:space="720"/>
            <w:col w:w="740" w:space="720"/>
            <w:col w:w="400"/>
          </w:cols>
          <w:pgMar w:left="240" w:top="141" w:right="239" w:bottom="1440" w:gutter="0" w:footer="0" w:header="0"/>
          <w:type w:val="continuous"/>
        </w:sectPr>
      </w:pPr>
    </w:p>
    <w:p>
      <w:pPr>
        <w:ind w:left="280" w:hanging="191"/>
        <w:spacing w:after="0"/>
        <w:tabs>
          <w:tab w:leader="none" w:pos="280" w:val="left"/>
        </w:tabs>
        <w:numPr>
          <w:ilvl w:val="0"/>
          <w:numId w:val="36"/>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other costs and expenses in the expense ratio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 of specific costs and expenses on the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109"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Advertising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Other costs and expenses </w:t>
      </w:r>
      <w:r>
        <w:rPr>
          <w:rFonts w:ascii="Arial" w:cs="Arial" w:eastAsia="Arial" w:hAnsi="Arial"/>
          <w:sz w:val="27"/>
          <w:szCs w:val="27"/>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3682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Restructuring and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36829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3682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right"/>
        <w:ind w:right="460"/>
        <w:spacing w:after="0"/>
        <w:rPr>
          <w:sz w:val="20"/>
          <w:szCs w:val="20"/>
          <w:color w:val="auto"/>
        </w:rPr>
      </w:pPr>
      <w:r>
        <w:rPr>
          <w:rFonts w:ascii="Arial" w:cs="Arial" w:eastAsia="Arial" w:hAnsi="Arial"/>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jc w:val="right"/>
        <w:ind w:right="4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34925</wp:posOffset>
            </wp:positionV>
            <wp:extent cx="87503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6" w:lineRule="exact"/>
        <w:rPr>
          <w:sz w:val="20"/>
          <w:szCs w:val="20"/>
          <w:color w:val="auto"/>
        </w:rPr>
      </w:pPr>
    </w:p>
    <w:p>
      <w:pPr>
        <w:jc w:val="right"/>
        <w:ind w:right="46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34925</wp:posOffset>
            </wp:positionV>
            <wp:extent cx="87503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6" w:lineRule="exact"/>
        <w:rPr>
          <w:sz w:val="20"/>
          <w:szCs w:val="20"/>
          <w:color w:val="auto"/>
        </w:rPr>
      </w:pPr>
    </w:p>
    <w:p>
      <w:pPr>
        <w:jc w:val="right"/>
        <w:ind w:right="460"/>
        <w:spacing w:after="0"/>
        <w:rPr>
          <w:sz w:val="20"/>
          <w:szCs w:val="20"/>
          <w:color w:val="auto"/>
        </w:rPr>
      </w:pPr>
      <w:r>
        <w:rPr>
          <w:rFonts w:ascii="Arial" w:cs="Arial" w:eastAsia="Arial" w:hAnsi="Arial"/>
          <w:sz w:val="16"/>
          <w:szCs w:val="16"/>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34925</wp:posOffset>
            </wp:positionV>
            <wp:extent cx="8750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2" w:lineRule="exact"/>
        <w:rPr>
          <w:sz w:val="20"/>
          <w:szCs w:val="20"/>
          <w:color w:val="auto"/>
        </w:rPr>
      </w:pPr>
    </w:p>
    <w:p>
      <w:pPr>
        <w:jc w:val="right"/>
        <w:ind w:right="460"/>
        <w:spacing w:after="0"/>
        <w:rPr>
          <w:sz w:val="20"/>
          <w:szCs w:val="20"/>
          <w:color w:val="auto"/>
        </w:rPr>
      </w:pPr>
      <w:r>
        <w:rPr>
          <w:rFonts w:ascii="Arial" w:cs="Arial" w:eastAsia="Arial" w:hAnsi="Arial"/>
          <w:sz w:val="14"/>
          <w:szCs w:val="14"/>
          <w:b w:val="1"/>
          <w:bCs w:val="1"/>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52070</wp:posOffset>
            </wp:positionV>
            <wp:extent cx="87503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34925</wp:posOffset>
            </wp:positionV>
            <wp:extent cx="8578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34925</wp:posOffset>
            </wp:positionV>
            <wp:extent cx="8578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34925</wp:posOffset>
            </wp:positionV>
            <wp:extent cx="85788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2" w:lineRule="exact"/>
        <w:rPr>
          <w:sz w:val="20"/>
          <w:szCs w:val="20"/>
          <w:color w:val="auto"/>
        </w:rPr>
      </w:pPr>
    </w:p>
    <w:p>
      <w:pPr>
        <w:jc w:val="right"/>
        <w:ind w:right="100"/>
        <w:spacing w:after="0"/>
        <w:rPr>
          <w:sz w:val="20"/>
          <w:szCs w:val="20"/>
          <w:color w:val="auto"/>
        </w:rPr>
      </w:pPr>
      <w:r>
        <w:rPr>
          <w:rFonts w:ascii="Arial" w:cs="Arial" w:eastAsia="Arial" w:hAnsi="Arial"/>
          <w:sz w:val="15"/>
          <w:szCs w:val="15"/>
          <w:b w:val="1"/>
          <w:bCs w:val="1"/>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45085</wp:posOffset>
            </wp:positionV>
            <wp:extent cx="85788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8840" w:space="720"/>
            <w:col w:w="740" w:space="720"/>
            <w:col w:w="400"/>
          </w:cols>
          <w:pgMar w:left="240" w:top="141" w:right="239" w:bottom="1440" w:gutter="0" w:footer="0" w:header="0"/>
          <w:type w:val="continuous"/>
        </w:sectPr>
      </w:pPr>
    </w:p>
    <w:p>
      <w:pPr>
        <w:spacing w:after="0" w:line="198" w:lineRule="exact"/>
        <w:rPr>
          <w:sz w:val="20"/>
          <w:szCs w:val="20"/>
          <w:color w:val="auto"/>
        </w:rPr>
      </w:pPr>
    </w:p>
    <w:p>
      <w:pPr>
        <w:ind w:left="260" w:hanging="171"/>
        <w:spacing w:after="0"/>
        <w:tabs>
          <w:tab w:leader="none" w:pos="260" w:val="left"/>
        </w:tabs>
        <w:numPr>
          <w:ilvl w:val="0"/>
          <w:numId w:val="37"/>
        </w:numPr>
        <w:rPr>
          <w:rFonts w:ascii="Arial" w:cs="Arial" w:eastAsia="Arial" w:hAnsi="Arial"/>
          <w:sz w:val="20"/>
          <w:szCs w:val="20"/>
          <w:color w:val="005BA5"/>
          <w:vertAlign w:val="superscript"/>
        </w:rPr>
      </w:pPr>
      <w:r>
        <w:rPr>
          <w:rFonts w:ascii="Arial" w:cs="Arial" w:eastAsia="Arial" w:hAnsi="Arial"/>
          <w:sz w:val="12"/>
          <w:szCs w:val="12"/>
          <w:color w:val="auto"/>
        </w:rPr>
        <w:t>Other revenue is deducted from other costs and expenses in the expense ratio calculation.</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57</w:t>
      </w:r>
    </w:p>
    <w:p>
      <w:pPr>
        <w:sectPr>
          <w:pgSz w:w="11900" w:h="16838" w:orient="portrait"/>
          <w:cols w:equalWidth="0" w:num="1">
            <w:col w:w="11420"/>
          </w:cols>
          <w:pgMar w:left="240" w:top="141" w:right="2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6"/>
          <w:szCs w:val="16"/>
          <w:color w:val="005BA5"/>
        </w:rPr>
        <w:t xml:space="preserve">Segment Results </w:t>
      </w:r>
      <w:r>
        <w:rPr>
          <w:rFonts w:ascii="Arial" w:cs="Arial" w:eastAsia="Arial" w:hAnsi="Arial"/>
          <w:sz w:val="16"/>
          <w:szCs w:val="16"/>
          <w:color w:val="000000"/>
        </w:rPr>
        <w:t>Allstate Protection</w:t>
      </w:r>
    </w:p>
    <w:p>
      <w:pPr>
        <w:spacing w:after="0" w:line="336" w:lineRule="exact"/>
        <w:rPr>
          <w:sz w:val="20"/>
          <w:szCs w:val="20"/>
          <w:color w:val="auto"/>
        </w:rPr>
      </w:pPr>
    </w:p>
    <w:p>
      <w:pPr>
        <w:ind w:right="360" w:firstLine="324"/>
        <w:spacing w:after="0" w:line="286" w:lineRule="auto"/>
        <w:rPr>
          <w:sz w:val="20"/>
          <w:szCs w:val="20"/>
          <w:color w:val="auto"/>
        </w:rPr>
      </w:pPr>
      <w:r>
        <w:rPr>
          <w:rFonts w:ascii="Arial" w:cs="Arial" w:eastAsia="Arial" w:hAnsi="Arial"/>
          <w:sz w:val="16"/>
          <w:szCs w:val="16"/>
          <w:b w:val="1"/>
          <w:bCs w:val="1"/>
          <w:color w:val="1666AF"/>
        </w:rPr>
        <w:t xml:space="preserve">Reserve reestimates </w:t>
      </w:r>
      <w:r>
        <w:rPr>
          <w:rFonts w:ascii="Arial" w:cs="Arial" w:eastAsia="Arial" w:hAnsi="Arial"/>
          <w:sz w:val="16"/>
          <w:szCs w:val="16"/>
          <w:color w:val="000000"/>
        </w:rPr>
        <w:t>were unfavorable in the first quarter of 2019 and primarily related to strengthening in our homeowners, other personal lines and</w:t>
      </w:r>
      <w:r>
        <w:rPr>
          <w:rFonts w:ascii="Arial" w:cs="Arial" w:eastAsia="Arial" w:hAnsi="Arial"/>
          <w:sz w:val="16"/>
          <w:szCs w:val="16"/>
          <w:b w:val="1"/>
          <w:bCs w:val="1"/>
          <w:color w:val="1666AF"/>
        </w:rPr>
        <w:t xml:space="preserve"> </w:t>
      </w:r>
      <w:r>
        <w:rPr>
          <w:rFonts w:ascii="Arial" w:cs="Arial" w:eastAsia="Arial" w:hAnsi="Arial"/>
          <w:sz w:val="16"/>
          <w:szCs w:val="16"/>
          <w:color w:val="000000"/>
        </w:rPr>
        <w:t>commercial lines, partially offset by continued favorable personal lines auto injury coverage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reserves, net of reinsurance (estimated cost of outstanding claims) as of January 1,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40" w:type="dxa"/>
            <w:vAlign w:val="bottom"/>
            <w:tcBorders>
              <w:bottom w:val="single" w:sz="8" w:color="005BA5"/>
            </w:tcBorders>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60" w:type="dxa"/>
            <w:vAlign w:val="bottom"/>
            <w:tcBorders>
              <w:bottom w:val="single" w:sz="8" w:color="005BA5"/>
            </w:tcBorders>
          </w:tcPr>
          <w:p>
            <w:pPr>
              <w:spacing w:after="0"/>
              <w:rPr>
                <w:sz w:val="20"/>
                <w:szCs w:val="20"/>
                <w:color w:val="auto"/>
              </w:rPr>
            </w:pPr>
          </w:p>
        </w:tc>
        <w:tc>
          <w:tcPr>
            <w:tcW w:w="900" w:type="dxa"/>
            <w:vAlign w:val="bottom"/>
            <w:tcBorders>
              <w:bottom w:val="single" w:sz="8" w:color="005BA5"/>
            </w:tcBorders>
          </w:tcPr>
          <w:p>
            <w:pPr>
              <w:spacing w:after="0"/>
              <w:rPr>
                <w:sz w:val="20"/>
                <w:szCs w:val="20"/>
                <w:color w:val="auto"/>
              </w:rPr>
            </w:pPr>
          </w:p>
        </w:tc>
        <w:tc>
          <w:tcPr>
            <w:tcW w:w="120" w:type="dxa"/>
            <w:vAlign w:val="bottom"/>
            <w:tcBorders>
              <w:bottom w:val="single" w:sz="8" w:color="005BA5"/>
            </w:tcBorders>
          </w:tcPr>
          <w:p>
            <w:pPr>
              <w:spacing w:after="0"/>
              <w:rPr>
                <w:sz w:val="20"/>
                <w:szCs w:val="20"/>
                <w:color w:val="auto"/>
              </w:rPr>
            </w:pPr>
          </w:p>
        </w:tc>
        <w:tc>
          <w:tcPr>
            <w:tcW w:w="380" w:type="dxa"/>
            <w:vAlign w:val="bottom"/>
            <w:tcBorders>
              <w:bottom w:val="single" w:sz="8" w:color="005BA5"/>
            </w:tcBorders>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005BA5"/>
            </w:tcBorders>
          </w:tcPr>
          <w:p>
            <w:pPr>
              <w:spacing w:after="0"/>
              <w:rPr>
                <w:sz w:val="20"/>
                <w:szCs w:val="20"/>
                <w:color w:val="auto"/>
              </w:rPr>
            </w:pPr>
          </w:p>
        </w:tc>
        <w:tc>
          <w:tcPr>
            <w:tcW w:w="100" w:type="dxa"/>
            <w:vAlign w:val="bottom"/>
            <w:tcBorders>
              <w:bottom w:val="single" w:sz="8" w:color="005BA5"/>
            </w:tcBorders>
          </w:tcPr>
          <w:p>
            <w:pPr>
              <w:spacing w:after="0"/>
              <w:rPr>
                <w:sz w:val="20"/>
                <w:szCs w:val="20"/>
                <w:color w:val="auto"/>
              </w:rPr>
            </w:pPr>
          </w:p>
        </w:tc>
        <w:tc>
          <w:tcPr>
            <w:tcW w:w="820" w:type="dxa"/>
            <w:vAlign w:val="bottom"/>
            <w:tcBorders>
              <w:bottom w:val="single" w:sz="8" w:color="005BA5"/>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005BA5"/>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005BA5"/>
            </w:tcBorders>
          </w:tcPr>
          <w:p>
            <w:pPr>
              <w:spacing w:after="0"/>
              <w:rPr>
                <w:sz w:val="20"/>
                <w:szCs w:val="20"/>
                <w:color w:val="auto"/>
              </w:rPr>
            </w:pPr>
          </w:p>
        </w:tc>
        <w:tc>
          <w:tcPr>
            <w:tcW w:w="100" w:type="dxa"/>
            <w:vAlign w:val="bottom"/>
            <w:tcBorders>
              <w:bottom w:val="single" w:sz="8" w:color="005BA5"/>
            </w:tcBorders>
          </w:tcPr>
          <w:p>
            <w:pPr>
              <w:spacing w:after="0"/>
              <w:rPr>
                <w:sz w:val="20"/>
                <w:szCs w:val="20"/>
                <w:color w:val="auto"/>
              </w:rPr>
            </w:pPr>
          </w:p>
        </w:tc>
        <w:tc>
          <w:tcPr>
            <w:tcW w:w="300" w:type="dxa"/>
            <w:vAlign w:val="bottom"/>
            <w:tcBorders>
              <w:bottom w:val="single" w:sz="8" w:color="005BA5"/>
            </w:tcBorders>
          </w:tcPr>
          <w:p>
            <w:pPr>
              <w:spacing w:after="0"/>
              <w:rPr>
                <w:sz w:val="20"/>
                <w:szCs w:val="20"/>
                <w:color w:val="auto"/>
              </w:rPr>
            </w:pPr>
          </w:p>
        </w:tc>
        <w:tc>
          <w:tcPr>
            <w:tcW w:w="8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w w:val="84"/>
              </w:rPr>
              <w:t>2018</w:t>
            </w: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14,378</w:t>
            </w: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14,051</w:t>
            </w:r>
          </w:p>
        </w:tc>
      </w:tr>
      <w:tr>
        <w:trPr>
          <w:trHeight w:val="33"/>
        </w:trPr>
        <w:tc>
          <w:tcPr>
            <w:tcW w:w="64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2,205</w:t>
            </w:r>
          </w:p>
        </w:tc>
      </w:tr>
      <w:tr>
        <w:trPr>
          <w:trHeight w:val="33"/>
        </w:trPr>
        <w:tc>
          <w:tcPr>
            <w:tcW w:w="64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1,489</w:t>
            </w:r>
          </w:p>
        </w:tc>
      </w:tr>
      <w:tr>
        <w:trPr>
          <w:trHeight w:val="33"/>
        </w:trPr>
        <w:tc>
          <w:tcPr>
            <w:tcW w:w="6400" w:type="dxa"/>
            <w:vAlign w:val="bottom"/>
            <w:tcBorders>
              <w:bottom w:val="single" w:sz="8" w:color="ACACAC"/>
            </w:tcBorders>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Commercial lines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616</w:t>
            </w:r>
          </w:p>
        </w:tc>
      </w:tr>
      <w:tr>
        <w:trPr>
          <w:trHeight w:val="33"/>
        </w:trPr>
        <w:tc>
          <w:tcPr>
            <w:tcW w:w="640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80" w:type="dxa"/>
            <w:vAlign w:val="bottom"/>
            <w:tcBorders>
              <w:bottom w:val="single" w:sz="8" w:color="005BA5"/>
            </w:tcBorders>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Allstate Protection</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18,825</w:t>
            </w:r>
          </w:p>
        </w:tc>
        <w:tc>
          <w:tcPr>
            <w:tcW w:w="32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18,361</w:t>
            </w:r>
          </w:p>
        </w:tc>
      </w:tr>
      <w:tr>
        <w:trPr>
          <w:trHeight w:val="33"/>
        </w:trPr>
        <w:tc>
          <w:tcPr>
            <w:tcW w:w="6400" w:type="dxa"/>
            <w:vAlign w:val="bottom"/>
            <w:tcBorders>
              <w:bottom w:val="single" w:sz="8" w:color="005BA5"/>
            </w:tcBorders>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80" w:type="dxa"/>
            <w:vAlign w:val="bottom"/>
            <w:tcBorders>
              <w:bottom w:val="single" w:sz="8" w:color="005BA5"/>
            </w:tcBorders>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r>
      <w:tr>
        <w:trPr>
          <w:trHeight w:val="129"/>
        </w:trPr>
        <w:tc>
          <w:tcPr>
            <w:tcW w:w="6540" w:type="dxa"/>
            <w:vAlign w:val="bottom"/>
            <w:tcBorders>
              <w:bottom w:val="single" w:sz="8" w:color="auto"/>
            </w:tcBorders>
            <w:gridSpan w:val="2"/>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230"/>
        </w:trPr>
        <w:tc>
          <w:tcPr>
            <w:tcW w:w="6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Reserve reestimates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37"/>
        </w:trPr>
        <w:tc>
          <w:tcPr>
            <w:tcW w:w="6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11"/>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840" w:type="dxa"/>
            <w:vAlign w:val="bottom"/>
          </w:tcPr>
          <w:p>
            <w:pPr>
              <w:spacing w:after="0"/>
              <w:rPr>
                <w:sz w:val="20"/>
                <w:szCs w:val="20"/>
                <w:color w:val="auto"/>
              </w:rPr>
            </w:pPr>
          </w:p>
        </w:tc>
      </w:tr>
      <w:tr>
        <w:trPr>
          <w:trHeight w:val="249"/>
        </w:trPr>
        <w:tc>
          <w:tcPr>
            <w:tcW w:w="6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Reserve</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2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Effect on</w:t>
            </w:r>
          </w:p>
        </w:tc>
        <w:tc>
          <w:tcPr>
            <w:tcW w:w="840" w:type="dxa"/>
            <w:vAlign w:val="bottom"/>
          </w:tcPr>
          <w:p>
            <w:pPr>
              <w:spacing w:after="0"/>
              <w:rPr>
                <w:sz w:val="21"/>
                <w:szCs w:val="21"/>
                <w:color w:val="auto"/>
              </w:rPr>
            </w:pPr>
          </w:p>
        </w:tc>
      </w:tr>
      <w:tr>
        <w:trPr>
          <w:trHeight w:val="243"/>
        </w:trPr>
        <w:tc>
          <w:tcPr>
            <w:tcW w:w="6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line="244" w:lineRule="exact"/>
              <w:rPr>
                <w:sz w:val="20"/>
                <w:szCs w:val="20"/>
                <w:color w:val="auto"/>
              </w:rPr>
            </w:pPr>
            <w:r>
              <w:rPr>
                <w:rFonts w:ascii="Arial" w:cs="Arial" w:eastAsia="Arial" w:hAnsi="Arial"/>
                <w:sz w:val="16"/>
                <w:szCs w:val="16"/>
                <w:b w:val="1"/>
                <w:bCs w:val="1"/>
                <w:color w:val="auto"/>
              </w:rPr>
              <w:t xml:space="preserve">reestimate </w:t>
            </w:r>
            <w:r>
              <w:rPr>
                <w:rFonts w:ascii="Arial" w:cs="Arial" w:eastAsia="Arial" w:hAnsi="Arial"/>
                <w:sz w:val="27"/>
                <w:szCs w:val="27"/>
                <w:color w:val="005BA5"/>
                <w:vertAlign w:val="superscript"/>
              </w:rPr>
              <w:t>(1)</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Borders>
              <w:bottom w:val="single" w:sz="8" w:color="auto"/>
            </w:tcBorders>
            <w:gridSpan w:val="7"/>
          </w:tcPr>
          <w:p>
            <w:pPr>
              <w:jc w:val="center"/>
              <w:spacing w:after="0" w:line="244" w:lineRule="exact"/>
              <w:rPr>
                <w:sz w:val="20"/>
                <w:szCs w:val="20"/>
                <w:color w:val="auto"/>
              </w:rPr>
            </w:pPr>
            <w:r>
              <w:rPr>
                <w:rFonts w:ascii="Arial" w:cs="Arial" w:eastAsia="Arial" w:hAnsi="Arial"/>
                <w:sz w:val="16"/>
                <w:szCs w:val="16"/>
                <w:b w:val="1"/>
                <w:bCs w:val="1"/>
                <w:color w:val="auto"/>
                <w:w w:val="87"/>
              </w:rPr>
              <w:t xml:space="preserve">combined ratio </w:t>
            </w:r>
            <w:r>
              <w:rPr>
                <w:rFonts w:ascii="Arial" w:cs="Arial" w:eastAsia="Arial" w:hAnsi="Arial"/>
                <w:sz w:val="27"/>
                <w:szCs w:val="27"/>
                <w:color w:val="005BA5"/>
                <w:w w:val="87"/>
                <w:vertAlign w:val="superscript"/>
              </w:rPr>
              <w:t>(2)</w:t>
            </w:r>
          </w:p>
        </w:tc>
      </w:tr>
      <w:tr>
        <w:trPr>
          <w:trHeight w:val="258"/>
        </w:trPr>
        <w:tc>
          <w:tcPr>
            <w:tcW w:w="640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 except ratios)</w:t>
            </w:r>
          </w:p>
        </w:tc>
        <w:tc>
          <w:tcPr>
            <w:tcW w:w="140" w:type="dxa"/>
            <w:vAlign w:val="bottom"/>
          </w:tcPr>
          <w:p>
            <w:pPr>
              <w:spacing w:after="0"/>
              <w:rPr>
                <w:sz w:val="22"/>
                <w:szCs w:val="22"/>
                <w:color w:val="auto"/>
              </w:rPr>
            </w:pPr>
          </w:p>
        </w:tc>
        <w:tc>
          <w:tcPr>
            <w:tcW w:w="260" w:type="dxa"/>
            <w:vAlign w:val="bottom"/>
            <w:tcBorders>
              <w:bottom w:val="single" w:sz="8" w:color="005BA5"/>
            </w:tcBorders>
          </w:tcPr>
          <w:p>
            <w:pPr>
              <w:spacing w:after="0"/>
              <w:rPr>
                <w:sz w:val="22"/>
                <w:szCs w:val="22"/>
                <w:color w:val="auto"/>
              </w:rPr>
            </w:pPr>
          </w:p>
        </w:tc>
        <w:tc>
          <w:tcPr>
            <w:tcW w:w="900" w:type="dxa"/>
            <w:vAlign w:val="bottom"/>
            <w:tcBorders>
              <w:bottom w:val="single" w:sz="8" w:color="005BA5"/>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2"/>
                <w:szCs w:val="22"/>
                <w:color w:val="auto"/>
              </w:rPr>
            </w:pPr>
          </w:p>
        </w:tc>
        <w:tc>
          <w:tcPr>
            <w:tcW w:w="380" w:type="dxa"/>
            <w:vAlign w:val="bottom"/>
            <w:tcBorders>
              <w:bottom w:val="single" w:sz="8" w:color="005BA5"/>
            </w:tcBorders>
          </w:tcPr>
          <w:p>
            <w:pPr>
              <w:spacing w:after="0"/>
              <w:rPr>
                <w:sz w:val="22"/>
                <w:szCs w:val="22"/>
                <w:color w:val="auto"/>
              </w:rPr>
            </w:pPr>
          </w:p>
        </w:tc>
        <w:tc>
          <w:tcPr>
            <w:tcW w:w="380" w:type="dxa"/>
            <w:vAlign w:val="bottom"/>
            <w:tcBorders>
              <w:bottom w:val="single" w:sz="8" w:color="005BA5"/>
            </w:tcBorders>
            <w:gridSpan w:val="2"/>
          </w:tcPr>
          <w:p>
            <w:pPr>
              <w:jc w:val="right"/>
              <w:ind w:right="40"/>
              <w:spacing w:after="0"/>
              <w:rPr>
                <w:sz w:val="20"/>
                <w:szCs w:val="20"/>
                <w:color w:val="auto"/>
              </w:rPr>
            </w:pPr>
            <w:r>
              <w:rPr>
                <w:rFonts w:ascii="Arial" w:cs="Arial" w:eastAsia="Arial" w:hAnsi="Arial"/>
                <w:sz w:val="16"/>
                <w:szCs w:val="16"/>
                <w:b w:val="1"/>
                <w:bCs w:val="1"/>
                <w:color w:val="auto"/>
                <w:w w:val="89"/>
              </w:rPr>
              <w:t>2018</w:t>
            </w:r>
          </w:p>
        </w:tc>
        <w:tc>
          <w:tcPr>
            <w:tcW w:w="360" w:type="dxa"/>
            <w:vAlign w:val="bottom"/>
            <w:tcBorders>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Borders>
              <w:bottom w:val="single" w:sz="8" w:color="005BA5"/>
            </w:tcBorders>
          </w:tcPr>
          <w:p>
            <w:pPr>
              <w:jc w:val="right"/>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005BA5"/>
            </w:tcBorders>
          </w:tcPr>
          <w:p>
            <w:pPr>
              <w:spacing w:after="0"/>
              <w:rPr>
                <w:sz w:val="22"/>
                <w:szCs w:val="22"/>
                <w:color w:val="auto"/>
              </w:rPr>
            </w:pPr>
          </w:p>
        </w:tc>
        <w:tc>
          <w:tcPr>
            <w:tcW w:w="100" w:type="dxa"/>
            <w:vAlign w:val="bottom"/>
            <w:tcBorders>
              <w:bottom w:val="single" w:sz="8" w:color="005BA5"/>
            </w:tcBorders>
          </w:tcPr>
          <w:p>
            <w:pPr>
              <w:spacing w:after="0"/>
              <w:rPr>
                <w:sz w:val="22"/>
                <w:szCs w:val="22"/>
                <w:color w:val="auto"/>
              </w:rPr>
            </w:pPr>
          </w:p>
        </w:tc>
        <w:tc>
          <w:tcPr>
            <w:tcW w:w="120" w:type="dxa"/>
            <w:vAlign w:val="bottom"/>
            <w:tcBorders>
              <w:bottom w:val="single" w:sz="8" w:color="005BA5"/>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005BA5"/>
            </w:tcBorders>
          </w:tcPr>
          <w:p>
            <w:pPr>
              <w:spacing w:after="0"/>
              <w:rPr>
                <w:sz w:val="22"/>
                <w:szCs w:val="22"/>
                <w:color w:val="auto"/>
              </w:rPr>
            </w:pPr>
          </w:p>
        </w:tc>
        <w:tc>
          <w:tcPr>
            <w:tcW w:w="840" w:type="dxa"/>
            <w:vAlign w:val="bottom"/>
            <w:tcBorders>
              <w:bottom w:val="single" w:sz="8" w:color="005BA5"/>
            </w:tcBorders>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223"/>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9"/>
                <w:szCs w:val="19"/>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4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74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gridSpan w:val="2"/>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w w:val="80"/>
              </w:rPr>
              <w:t>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64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74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gridSpan w:val="2"/>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w w:val="80"/>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64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74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Commercial lines</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5"/>
          </w:tcPr>
          <w:p>
            <w:pPr>
              <w:jc w:val="right"/>
              <w:ind w:right="5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64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005BA5"/>
            </w:tcBorders>
          </w:tcPr>
          <w:p>
            <w:pPr>
              <w:spacing w:after="0"/>
              <w:rPr>
                <w:sz w:val="2"/>
                <w:szCs w:val="2"/>
                <w:color w:val="auto"/>
              </w:rPr>
            </w:pPr>
          </w:p>
        </w:tc>
        <w:tc>
          <w:tcPr>
            <w:tcW w:w="740" w:type="dxa"/>
            <w:vAlign w:val="bottom"/>
            <w:tcBorders>
              <w:bottom w:val="single" w:sz="8" w:color="005BA5"/>
            </w:tcBorders>
            <w:gridSpan w:val="3"/>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gridSpan w:val="2"/>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r>
      <w:tr>
        <w:trPr>
          <w:trHeight w:val="250"/>
        </w:trPr>
        <w:tc>
          <w:tcPr>
            <w:tcW w:w="6540" w:type="dxa"/>
            <w:vAlign w:val="bottom"/>
            <w:gridSpan w:val="2"/>
          </w:tcPr>
          <w:p>
            <w:pPr>
              <w:ind w:left="40"/>
              <w:spacing w:after="0" w:line="250" w:lineRule="exact"/>
              <w:rPr>
                <w:sz w:val="20"/>
                <w:szCs w:val="20"/>
                <w:color w:val="auto"/>
              </w:rPr>
            </w:pPr>
            <w:r>
              <w:rPr>
                <w:rFonts w:ascii="Arial" w:cs="Arial" w:eastAsia="Arial" w:hAnsi="Arial"/>
                <w:sz w:val="16"/>
                <w:szCs w:val="16"/>
                <w:b w:val="1"/>
                <w:bCs w:val="1"/>
                <w:color w:val="auto"/>
              </w:rPr>
              <w:t xml:space="preserve">Total Allstate Protection </w:t>
            </w:r>
            <w:r>
              <w:rPr>
                <w:rFonts w:ascii="Arial" w:cs="Arial" w:eastAsia="Arial" w:hAnsi="Arial"/>
                <w:sz w:val="27"/>
                <w:szCs w:val="27"/>
                <w:color w:val="005BA5"/>
                <w:vertAlign w:val="superscript"/>
              </w:rPr>
              <w:t>(3)</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gridSpan w:val="3"/>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w w:val="80"/>
              </w:rPr>
              <w:t>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(0.7)</w:t>
            </w:r>
          </w:p>
        </w:tc>
      </w:tr>
      <w:tr>
        <w:trPr>
          <w:trHeight w:val="156"/>
        </w:trPr>
        <w:tc>
          <w:tcPr>
            <w:tcW w:w="6400" w:type="dxa"/>
            <w:vAlign w:val="bottom"/>
            <w:tcBorders>
              <w:top w:val="single" w:sz="8" w:color="005BA5"/>
              <w:bottom w:val="single" w:sz="8" w:color="ACACAC"/>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top w:val="single" w:sz="8" w:color="005BA5"/>
              <w:bottom w:val="single" w:sz="8" w:color="ACACAC"/>
            </w:tcBorders>
          </w:tcPr>
          <w:p>
            <w:pPr>
              <w:spacing w:after="0"/>
              <w:rPr>
                <w:sz w:val="13"/>
                <w:szCs w:val="13"/>
                <w:color w:val="auto"/>
              </w:rPr>
            </w:pPr>
          </w:p>
        </w:tc>
        <w:tc>
          <w:tcPr>
            <w:tcW w:w="90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005BA5"/>
              <w:bottom w:val="single" w:sz="8" w:color="ACACAC"/>
            </w:tcBorders>
          </w:tcPr>
          <w:p>
            <w:pPr>
              <w:spacing w:after="0"/>
              <w:rPr>
                <w:sz w:val="13"/>
                <w:szCs w:val="13"/>
                <w:color w:val="auto"/>
              </w:rPr>
            </w:pPr>
          </w:p>
        </w:tc>
        <w:tc>
          <w:tcPr>
            <w:tcW w:w="260" w:type="dxa"/>
            <w:vAlign w:val="bottom"/>
            <w:tcBorders>
              <w:top w:val="single" w:sz="8" w:color="005BA5"/>
              <w:bottom w:val="single" w:sz="8" w:color="ACACAC"/>
            </w:tcBorders>
          </w:tcPr>
          <w:p>
            <w:pPr>
              <w:spacing w:after="0"/>
              <w:rPr>
                <w:sz w:val="13"/>
                <w:szCs w:val="13"/>
                <w:color w:val="auto"/>
              </w:rPr>
            </w:pPr>
          </w:p>
        </w:tc>
        <w:tc>
          <w:tcPr>
            <w:tcW w:w="120" w:type="dxa"/>
            <w:vAlign w:val="bottom"/>
            <w:tcBorders>
              <w:top w:val="single" w:sz="8" w:color="005BA5"/>
              <w:bottom w:val="single" w:sz="8" w:color="ACACAC"/>
            </w:tcBorders>
          </w:tcPr>
          <w:p>
            <w:pPr>
              <w:spacing w:after="0"/>
              <w:rPr>
                <w:sz w:val="13"/>
                <w:szCs w:val="13"/>
                <w:color w:val="auto"/>
              </w:rPr>
            </w:pPr>
          </w:p>
        </w:tc>
        <w:tc>
          <w:tcPr>
            <w:tcW w:w="3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005BA5"/>
              <w:bottom w:val="single" w:sz="8" w:color="ACACAC"/>
            </w:tcBorders>
          </w:tcPr>
          <w:p>
            <w:pPr>
              <w:spacing w:after="0"/>
              <w:rPr>
                <w:sz w:val="13"/>
                <w:szCs w:val="13"/>
                <w:color w:val="auto"/>
              </w:rPr>
            </w:pPr>
          </w:p>
        </w:tc>
        <w:tc>
          <w:tcPr>
            <w:tcW w:w="100" w:type="dxa"/>
            <w:vAlign w:val="bottom"/>
            <w:tcBorders>
              <w:top w:val="single" w:sz="8" w:color="005BA5"/>
              <w:bottom w:val="single" w:sz="8" w:color="ACACAC"/>
            </w:tcBorders>
          </w:tcPr>
          <w:p>
            <w:pPr>
              <w:spacing w:after="0"/>
              <w:rPr>
                <w:sz w:val="13"/>
                <w:szCs w:val="13"/>
                <w:color w:val="auto"/>
              </w:rPr>
            </w:pPr>
          </w:p>
        </w:tc>
        <w:tc>
          <w:tcPr>
            <w:tcW w:w="100" w:type="dxa"/>
            <w:vAlign w:val="bottom"/>
            <w:tcBorders>
              <w:top w:val="single" w:sz="8" w:color="005BA5"/>
              <w:bottom w:val="single" w:sz="8" w:color="ACACAC"/>
            </w:tcBorders>
          </w:tcPr>
          <w:p>
            <w:pPr>
              <w:spacing w:after="0"/>
              <w:rPr>
                <w:sz w:val="13"/>
                <w:szCs w:val="13"/>
                <w:color w:val="auto"/>
              </w:rPr>
            </w:pPr>
          </w:p>
        </w:tc>
        <w:tc>
          <w:tcPr>
            <w:tcW w:w="12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005BA5"/>
              <w:bottom w:val="single" w:sz="8" w:color="ACACAC"/>
            </w:tcBorders>
          </w:tcPr>
          <w:p>
            <w:pPr>
              <w:spacing w:after="0"/>
              <w:rPr>
                <w:sz w:val="13"/>
                <w:szCs w:val="13"/>
                <w:color w:val="auto"/>
              </w:rPr>
            </w:pPr>
          </w:p>
        </w:tc>
        <w:tc>
          <w:tcPr>
            <w:tcW w:w="840" w:type="dxa"/>
            <w:vAlign w:val="bottom"/>
            <w:tcBorders>
              <w:top w:val="single" w:sz="8" w:color="005BA5"/>
              <w:bottom w:val="single" w:sz="8" w:color="ACACAC"/>
            </w:tcBorders>
          </w:tcPr>
          <w:p>
            <w:pPr>
              <w:spacing w:after="0"/>
              <w:rPr>
                <w:sz w:val="13"/>
                <w:szCs w:val="13"/>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Allstate brand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5"/>
          </w:tcPr>
          <w:p>
            <w:pPr>
              <w:jc w:val="right"/>
              <w:ind w:right="5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w:t>
            </w:r>
          </w:p>
        </w:tc>
      </w:tr>
      <w:tr>
        <w:trPr>
          <w:trHeight w:val="33"/>
        </w:trPr>
        <w:tc>
          <w:tcPr>
            <w:tcW w:w="64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32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Esurance brand</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720" w:type="dxa"/>
            <w:vAlign w:val="bottom"/>
            <w:gridSpan w:val="5"/>
          </w:tcPr>
          <w:p>
            <w:pPr>
              <w:jc w:val="right"/>
              <w:ind w:right="5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4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CACAC"/>
            </w:tcBorders>
          </w:tcPr>
          <w:p>
            <w:pPr>
              <w:spacing w:after="0"/>
              <w:rPr>
                <w:sz w:val="2"/>
                <w:szCs w:val="2"/>
                <w:color w:val="auto"/>
              </w:rPr>
            </w:pPr>
          </w:p>
        </w:tc>
        <w:tc>
          <w:tcPr>
            <w:tcW w:w="740" w:type="dxa"/>
            <w:vAlign w:val="bottom"/>
            <w:tcBorders>
              <w:bottom w:val="single" w:sz="8" w:color="ACACAC"/>
            </w:tcBorders>
            <w:gridSpan w:val="3"/>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CACAC"/>
            </w:tcBorders>
          </w:tcPr>
          <w:p>
            <w:pPr>
              <w:spacing w:after="0"/>
              <w:rPr>
                <w:sz w:val="2"/>
                <w:szCs w:val="2"/>
                <w:color w:val="auto"/>
              </w:rPr>
            </w:pPr>
          </w:p>
        </w:tc>
        <w:tc>
          <w:tcPr>
            <w:tcW w:w="200" w:type="dxa"/>
            <w:vAlign w:val="bottom"/>
            <w:tcBorders>
              <w:bottom w:val="single" w:sz="8" w:color="ACACAC"/>
            </w:tcBorders>
            <w:gridSpan w:val="2"/>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color w:val="auto"/>
              </w:rPr>
              <w:t>Encompass brand</w:t>
            </w:r>
          </w:p>
        </w:tc>
        <w:tc>
          <w:tcPr>
            <w:tcW w:w="26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gridSpan w:val="3"/>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w w:val="80"/>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64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005BA5"/>
            </w:tcBorders>
          </w:tcPr>
          <w:p>
            <w:pPr>
              <w:spacing w:after="0"/>
              <w:rPr>
                <w:sz w:val="2"/>
                <w:szCs w:val="2"/>
                <w:color w:val="auto"/>
              </w:rPr>
            </w:pPr>
          </w:p>
        </w:tc>
        <w:tc>
          <w:tcPr>
            <w:tcW w:w="740" w:type="dxa"/>
            <w:vAlign w:val="bottom"/>
            <w:tcBorders>
              <w:bottom w:val="single" w:sz="8" w:color="005BA5"/>
            </w:tcBorders>
            <w:gridSpan w:val="3"/>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200" w:type="dxa"/>
            <w:vAlign w:val="bottom"/>
            <w:tcBorders>
              <w:bottom w:val="single" w:sz="8" w:color="005BA5"/>
            </w:tcBorders>
            <w:gridSpan w:val="2"/>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r>
      <w:tr>
        <w:trPr>
          <w:trHeight w:val="217"/>
        </w:trPr>
        <w:tc>
          <w:tcPr>
            <w:tcW w:w="65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Allstate Protection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740" w:type="dxa"/>
            <w:vAlign w:val="bottom"/>
            <w:gridSpan w:val="3"/>
          </w:tcPr>
          <w:p>
            <w:pPr>
              <w:jc w:val="right"/>
              <w:spacing w:after="0"/>
              <w:rPr>
                <w:sz w:val="20"/>
                <w:szCs w:val="20"/>
                <w:color w:val="auto"/>
              </w:rPr>
            </w:pPr>
            <w:r>
              <w:rPr>
                <w:rFonts w:ascii="Arial" w:cs="Arial" w:eastAsia="Arial" w:hAnsi="Arial"/>
                <w:sz w:val="16"/>
                <w:szCs w:val="16"/>
                <w:b w:val="1"/>
                <w:bCs w:val="1"/>
                <w:color w:val="auto"/>
              </w:rPr>
              <w:t>(54)</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b w:val="1"/>
                <w:bCs w:val="1"/>
                <w:color w:val="auto"/>
                <w:w w:val="80"/>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(0.7)</w:t>
            </w:r>
          </w:p>
        </w:tc>
      </w:tr>
      <w:tr>
        <w:trPr>
          <w:trHeight w:val="33"/>
        </w:trPr>
        <w:tc>
          <w:tcPr>
            <w:tcW w:w="64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005BA5"/>
            </w:tcBorders>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3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r>
    </w:tbl>
    <w:p>
      <w:pPr>
        <w:spacing w:after="0" w:line="21" w:lineRule="exact"/>
        <w:rPr>
          <w:sz w:val="20"/>
          <w:szCs w:val="20"/>
          <w:color w:val="auto"/>
        </w:rPr>
      </w:pPr>
    </w:p>
    <w:p>
      <w:pPr>
        <w:ind w:left="280" w:hanging="191"/>
        <w:spacing w:after="0"/>
        <w:tabs>
          <w:tab w:leader="none" w:pos="280" w:val="left"/>
        </w:tabs>
        <w:numPr>
          <w:ilvl w:val="0"/>
          <w:numId w:val="38"/>
        </w:numPr>
        <w:rPr>
          <w:rFonts w:ascii="Arial" w:cs="Arial" w:eastAsia="Arial" w:hAnsi="Arial"/>
          <w:sz w:val="23"/>
          <w:szCs w:val="23"/>
          <w:color w:val="005BA5"/>
          <w:vertAlign w:val="superscript"/>
        </w:rPr>
      </w:pPr>
      <w:r>
        <w:rPr>
          <w:rFonts w:ascii="Arial" w:cs="Arial" w:eastAsia="Arial" w:hAnsi="Arial"/>
          <w:sz w:val="14"/>
          <w:szCs w:val="14"/>
          <w:color w:val="auto"/>
        </w:rPr>
        <w:t>Favorable reserve reestimates are shown in parentheses.</w:t>
      </w:r>
    </w:p>
    <w:p>
      <w:pPr>
        <w:spacing w:after="0" w:line="43" w:lineRule="exact"/>
        <w:rPr>
          <w:rFonts w:ascii="Arial" w:cs="Arial" w:eastAsia="Arial" w:hAnsi="Arial"/>
          <w:sz w:val="23"/>
          <w:szCs w:val="23"/>
          <w:color w:val="005BA5"/>
          <w:vertAlign w:val="superscript"/>
        </w:rPr>
      </w:pPr>
    </w:p>
    <w:p>
      <w:pPr>
        <w:ind w:left="280" w:hanging="191"/>
        <w:spacing w:after="0" w:line="199" w:lineRule="auto"/>
        <w:tabs>
          <w:tab w:leader="none" w:pos="280" w:val="left"/>
        </w:tabs>
        <w:numPr>
          <w:ilvl w:val="0"/>
          <w:numId w:val="38"/>
        </w:numPr>
        <w:rPr>
          <w:rFonts w:ascii="Arial" w:cs="Arial" w:eastAsia="Arial" w:hAnsi="Arial"/>
          <w:sz w:val="18"/>
          <w:szCs w:val="18"/>
          <w:color w:val="005BA5"/>
          <w:vertAlign w:val="superscript"/>
        </w:rPr>
      </w:pPr>
      <w:r>
        <w:rPr>
          <w:rFonts w:ascii="Arial" w:cs="Arial" w:eastAsia="Arial" w:hAnsi="Arial"/>
          <w:sz w:val="12"/>
          <w:szCs w:val="12"/>
          <w:color w:val="auto"/>
        </w:rPr>
        <w:t>Ratios are calculated using Allstate Protection premiums earned.</w:t>
      </w:r>
    </w:p>
    <w:p>
      <w:pPr>
        <w:spacing w:after="0" w:line="44" w:lineRule="exact"/>
        <w:rPr>
          <w:rFonts w:ascii="Arial" w:cs="Arial" w:eastAsia="Arial" w:hAnsi="Arial"/>
          <w:sz w:val="18"/>
          <w:szCs w:val="18"/>
          <w:color w:val="005BA5"/>
          <w:vertAlign w:val="superscript"/>
        </w:rPr>
      </w:pPr>
    </w:p>
    <w:p>
      <w:pPr>
        <w:jc w:val="both"/>
        <w:ind w:left="280" w:right="40" w:hanging="191"/>
        <w:spacing w:after="0" w:line="203" w:lineRule="auto"/>
        <w:tabs>
          <w:tab w:leader="none" w:pos="280" w:val="left"/>
        </w:tabs>
        <w:numPr>
          <w:ilvl w:val="0"/>
          <w:numId w:val="38"/>
        </w:numPr>
        <w:rPr>
          <w:rFonts w:ascii="Arial" w:cs="Arial" w:eastAsia="Arial" w:hAnsi="Arial"/>
          <w:sz w:val="23"/>
          <w:szCs w:val="23"/>
          <w:color w:val="005BA5"/>
          <w:vertAlign w:val="superscript"/>
        </w:rPr>
      </w:pPr>
      <w:r>
        <w:rPr>
          <w:rFonts w:ascii="Arial" w:cs="Arial" w:eastAsia="Arial" w:hAnsi="Arial"/>
          <w:sz w:val="14"/>
          <w:szCs w:val="14"/>
          <w:color w:val="auto"/>
        </w:rPr>
        <w:t>Prior year reserve reestimates included in catastrophe losses totaled $53 million unfavorable in the three months ended March 31, 2019, including $15 million of reinstatement reinsurance premiums incurred during the period related to the 2018 Camp Fire. Prior year reserve reestimates included in catastrophe losses totaled $4 million unfavorable in the three months ended March 31, 2018.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58 </w:t>
      </w:r>
      <w:r>
        <w:rPr>
          <w:sz w:val="1"/>
          <w:szCs w:val="1"/>
          <w:color w:val="auto"/>
        </w:rPr>
        <w:drawing>
          <wp:inline distT="0" distB="0" distL="0" distR="0">
            <wp:extent cx="111760" cy="111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420"/>
          </w:cols>
          <w:pgMar w:left="240" w:top="141" w:right="239" w:bottom="1440" w:gutter="0" w:footer="0" w:header="0"/>
        </w:sectPr>
      </w:pPr>
    </w:p>
    <w:bookmarkStart w:id="62" w:name="page63"/>
    <w:bookmarkEnd w:id="62"/>
    <w:p>
      <w:pPr>
        <w:ind w:left="8840"/>
        <w:spacing w:after="0"/>
        <w:rPr>
          <w:sz w:val="20"/>
          <w:szCs w:val="20"/>
          <w:color w:val="auto"/>
        </w:rPr>
      </w:pPr>
      <w:r>
        <w:rPr>
          <w:rFonts w:ascii="Arial" w:cs="Arial" w:eastAsia="Arial" w:hAnsi="Arial"/>
          <w:sz w:val="16"/>
          <w:szCs w:val="16"/>
          <w:color w:val="auto"/>
        </w:rPr>
        <w:t xml:space="preserve">Allstate Protection </w:t>
      </w:r>
      <w:r>
        <w:rPr>
          <w:rFonts w:ascii="Arial" w:cs="Arial" w:eastAsia="Arial" w:hAnsi="Arial"/>
          <w:sz w:val="16"/>
          <w:szCs w:val="16"/>
          <w:color w:val="005BA5"/>
        </w:rPr>
        <w:t>Segment Results</w:t>
      </w:r>
    </w:p>
    <w:p>
      <w:pPr>
        <w:spacing w:after="0" w:line="356" w:lineRule="exact"/>
        <w:rPr>
          <w:sz w:val="20"/>
          <w:szCs w:val="20"/>
          <w:color w:val="auto"/>
        </w:rPr>
      </w:pPr>
    </w:p>
    <w:p>
      <w:pPr>
        <w:jc w:val="both"/>
        <w:ind w:right="400" w:firstLine="324"/>
        <w:spacing w:after="0" w:line="253" w:lineRule="auto"/>
        <w:rPr>
          <w:sz w:val="20"/>
          <w:szCs w:val="20"/>
          <w:color w:val="auto"/>
        </w:rPr>
      </w:pPr>
      <w:r>
        <w:rPr>
          <w:rFonts w:ascii="Arial" w:cs="Arial" w:eastAsia="Arial" w:hAnsi="Arial"/>
          <w:sz w:val="16"/>
          <w:szCs w:val="16"/>
          <w:color w:val="auto"/>
        </w:rPr>
        <w:t>The following table presents premiums written, policies in force (“PIF”) and underwriting income (loss) by line of business for Allstate brand, Esurance brand, Encompass brand and Allstate Protection as of or for the three months ended March 31, 2019. Detailed analysis of underwriting results, premiums written and earned, and the combined ratios, including loss and expense ratios, are discussed in the brand sections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Premiums written, policies in force and underwriting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Allstate brand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Esurance brand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Encompass brand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Allstate Protection</w:t>
            </w:r>
          </w:p>
        </w:tc>
        <w:tc>
          <w:tcPr>
            <w:tcW w:w="0" w:type="dxa"/>
            <w:vAlign w:val="bottom"/>
          </w:tcPr>
          <w:p>
            <w:pPr>
              <w:spacing w:after="0"/>
              <w:rPr>
                <w:sz w:val="1"/>
                <w:szCs w:val="1"/>
                <w:color w:val="auto"/>
              </w:rPr>
            </w:pPr>
          </w:p>
        </w:tc>
      </w:tr>
      <w:tr>
        <w:trPr>
          <w:trHeight w:val="152"/>
        </w:trPr>
        <w:tc>
          <w:tcPr>
            <w:tcW w:w="3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Premiums written</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3"/>
                <w:szCs w:val="13"/>
                <w:color w:val="auto"/>
              </w:rPr>
            </w:pPr>
          </w:p>
        </w:tc>
        <w:tc>
          <w:tcPr>
            <w:tcW w:w="11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Percent to total</w:t>
            </w:r>
          </w:p>
        </w:tc>
        <w:tc>
          <w:tcPr>
            <w:tcW w:w="120" w:type="dxa"/>
            <w:vAlign w:val="bottom"/>
          </w:tcPr>
          <w:p>
            <w:pPr>
              <w:spacing w:after="0"/>
              <w:rPr>
                <w:sz w:val="13"/>
                <w:szCs w:val="13"/>
                <w:color w:val="auto"/>
              </w:rPr>
            </w:pP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13"/>
                <w:szCs w:val="13"/>
                <w:color w:val="auto"/>
              </w:rPr>
            </w:pPr>
          </w:p>
        </w:tc>
        <w:tc>
          <w:tcPr>
            <w:tcW w:w="12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Percent to total</w:t>
            </w: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13"/>
                <w:szCs w:val="13"/>
                <w:color w:val="auto"/>
              </w:rPr>
            </w:pPr>
          </w:p>
        </w:tc>
        <w:tc>
          <w:tcPr>
            <w:tcW w:w="12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Percent to total</w:t>
            </w:r>
          </w:p>
        </w:tc>
        <w:tc>
          <w:tcPr>
            <w:tcW w:w="120" w:type="dxa"/>
            <w:vAlign w:val="bottom"/>
          </w:tcPr>
          <w:p>
            <w:pPr>
              <w:spacing w:after="0"/>
              <w:rPr>
                <w:sz w:val="13"/>
                <w:szCs w:val="13"/>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Percent to total</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005BA5"/>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005BA5"/>
            </w:tcBorders>
          </w:tcPr>
          <w:p>
            <w:pPr>
              <w:spacing w:after="0"/>
              <w:rPr>
                <w:sz w:val="16"/>
                <w:szCs w:val="16"/>
                <w:color w:val="auto"/>
              </w:rPr>
            </w:pPr>
          </w:p>
        </w:tc>
        <w:tc>
          <w:tcPr>
            <w:tcW w:w="660" w:type="dxa"/>
            <w:vAlign w:val="bottom"/>
            <w:tcBorders>
              <w:bottom w:val="single" w:sz="8" w:color="005BA5"/>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tcBorders>
              <w:bottom w:val="single" w:sz="8" w:color="005BA5"/>
            </w:tcBorders>
          </w:tcPr>
          <w:p>
            <w:pPr>
              <w:jc w:val="right"/>
              <w:ind w:right="268"/>
              <w:spacing w:after="0"/>
              <w:rPr>
                <w:sz w:val="20"/>
                <w:szCs w:val="20"/>
                <w:color w:val="auto"/>
              </w:rPr>
            </w:pPr>
            <w:r>
              <w:rPr>
                <w:rFonts w:ascii="Arial" w:cs="Arial" w:eastAsia="Arial" w:hAnsi="Arial"/>
                <w:sz w:val="14"/>
                <w:szCs w:val="14"/>
                <w:b w:val="1"/>
                <w:bCs w:val="1"/>
                <w:color w:val="auto"/>
              </w:rPr>
              <w:t>brand</w:t>
            </w:r>
          </w:p>
        </w:tc>
        <w:tc>
          <w:tcPr>
            <w:tcW w:w="100" w:type="dxa"/>
            <w:vAlign w:val="bottom"/>
          </w:tcPr>
          <w:p>
            <w:pPr>
              <w:spacing w:after="0"/>
              <w:rPr>
                <w:sz w:val="16"/>
                <w:szCs w:val="16"/>
                <w:color w:val="auto"/>
              </w:rPr>
            </w:pPr>
          </w:p>
        </w:tc>
        <w:tc>
          <w:tcPr>
            <w:tcW w:w="120" w:type="dxa"/>
            <w:vAlign w:val="bottom"/>
            <w:tcBorders>
              <w:bottom w:val="single" w:sz="8" w:color="005BA5"/>
            </w:tcBorders>
          </w:tcPr>
          <w:p>
            <w:pPr>
              <w:spacing w:after="0"/>
              <w:rPr>
                <w:sz w:val="16"/>
                <w:szCs w:val="16"/>
                <w:color w:val="auto"/>
              </w:rPr>
            </w:pPr>
          </w:p>
        </w:tc>
        <w:tc>
          <w:tcPr>
            <w:tcW w:w="680" w:type="dxa"/>
            <w:vAlign w:val="bottom"/>
            <w:tcBorders>
              <w:bottom w:val="single" w:sz="8" w:color="005BA5"/>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005BA5"/>
            </w:tcBorders>
          </w:tcPr>
          <w:p>
            <w:pPr>
              <w:jc w:val="right"/>
              <w:ind w:right="288"/>
              <w:spacing w:after="0"/>
              <w:rPr>
                <w:sz w:val="20"/>
                <w:szCs w:val="20"/>
                <w:color w:val="auto"/>
              </w:rPr>
            </w:pPr>
            <w:r>
              <w:rPr>
                <w:rFonts w:ascii="Arial" w:cs="Arial" w:eastAsia="Arial" w:hAnsi="Arial"/>
                <w:sz w:val="14"/>
                <w:szCs w:val="14"/>
                <w:b w:val="1"/>
                <w:bCs w:val="1"/>
                <w:color w:val="auto"/>
              </w:rPr>
              <w:t>brand</w:t>
            </w:r>
          </w:p>
        </w:tc>
        <w:tc>
          <w:tcPr>
            <w:tcW w:w="120" w:type="dxa"/>
            <w:vAlign w:val="bottom"/>
          </w:tcPr>
          <w:p>
            <w:pPr>
              <w:spacing w:after="0"/>
              <w:rPr>
                <w:sz w:val="16"/>
                <w:szCs w:val="16"/>
                <w:color w:val="auto"/>
              </w:rPr>
            </w:pPr>
          </w:p>
        </w:tc>
        <w:tc>
          <w:tcPr>
            <w:tcW w:w="120" w:type="dxa"/>
            <w:vAlign w:val="bottom"/>
            <w:tcBorders>
              <w:bottom w:val="single" w:sz="8" w:color="005BA5"/>
            </w:tcBorders>
          </w:tcPr>
          <w:p>
            <w:pPr>
              <w:spacing w:after="0"/>
              <w:rPr>
                <w:sz w:val="16"/>
                <w:szCs w:val="16"/>
                <w:color w:val="auto"/>
              </w:rPr>
            </w:pPr>
          </w:p>
        </w:tc>
        <w:tc>
          <w:tcPr>
            <w:tcW w:w="660" w:type="dxa"/>
            <w:vAlign w:val="bottom"/>
            <w:tcBorders>
              <w:bottom w:val="single" w:sz="8" w:color="005BA5"/>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20" w:type="dxa"/>
            <w:vAlign w:val="bottom"/>
            <w:tcBorders>
              <w:bottom w:val="single" w:sz="8" w:color="005BA5"/>
            </w:tcBorders>
          </w:tcPr>
          <w:p>
            <w:pPr>
              <w:jc w:val="right"/>
              <w:ind w:right="308"/>
              <w:spacing w:after="0"/>
              <w:rPr>
                <w:sz w:val="20"/>
                <w:szCs w:val="20"/>
                <w:color w:val="auto"/>
              </w:rPr>
            </w:pPr>
            <w:r>
              <w:rPr>
                <w:rFonts w:ascii="Arial" w:cs="Arial" w:eastAsia="Arial" w:hAnsi="Arial"/>
                <w:sz w:val="14"/>
                <w:szCs w:val="14"/>
                <w:b w:val="1"/>
                <w:bCs w:val="1"/>
                <w:color w:val="auto"/>
              </w:rPr>
              <w:t>brand</w:t>
            </w:r>
          </w:p>
        </w:tc>
        <w:tc>
          <w:tcPr>
            <w:tcW w:w="100" w:type="dxa"/>
            <w:vAlign w:val="bottom"/>
          </w:tcPr>
          <w:p>
            <w:pPr>
              <w:spacing w:after="0"/>
              <w:rPr>
                <w:sz w:val="16"/>
                <w:szCs w:val="16"/>
                <w:color w:val="auto"/>
              </w:rPr>
            </w:pPr>
          </w:p>
        </w:tc>
        <w:tc>
          <w:tcPr>
            <w:tcW w:w="120" w:type="dxa"/>
            <w:vAlign w:val="bottom"/>
            <w:tcBorders>
              <w:bottom w:val="single" w:sz="8" w:color="005BA5"/>
            </w:tcBorders>
          </w:tcPr>
          <w:p>
            <w:pPr>
              <w:spacing w:after="0"/>
              <w:rPr>
                <w:sz w:val="16"/>
                <w:szCs w:val="16"/>
                <w:color w:val="auto"/>
              </w:rPr>
            </w:pPr>
          </w:p>
        </w:tc>
        <w:tc>
          <w:tcPr>
            <w:tcW w:w="660" w:type="dxa"/>
            <w:vAlign w:val="bottom"/>
            <w:tcBorders>
              <w:bottom w:val="single" w:sz="8" w:color="005BA5"/>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60" w:type="dxa"/>
            <w:vAlign w:val="bottom"/>
            <w:tcBorders>
              <w:bottom w:val="single" w:sz="8" w:color="005BA5"/>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Auto</w:t>
            </w:r>
          </w:p>
        </w:tc>
        <w:tc>
          <w:tcPr>
            <w:tcW w:w="100" w:type="dxa"/>
            <w:vAlign w:val="bottom"/>
          </w:tcPr>
          <w:p>
            <w:pPr>
              <w:spacing w:after="0"/>
              <w:rPr>
                <w:sz w:val="21"/>
                <w:szCs w:val="21"/>
                <w:color w:val="auto"/>
              </w:rPr>
            </w:pPr>
          </w:p>
        </w:tc>
        <w:tc>
          <w:tcPr>
            <w:tcW w:w="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5,395</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21"/>
                <w:szCs w:val="21"/>
                <w:color w:val="auto"/>
              </w:rPr>
            </w:pPr>
          </w:p>
        </w:tc>
        <w:tc>
          <w:tcPr>
            <w:tcW w:w="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532</w:t>
            </w:r>
          </w:p>
        </w:tc>
        <w:tc>
          <w:tcPr>
            <w:tcW w:w="100" w:type="dxa"/>
            <w:vAlign w:val="bottom"/>
          </w:tcPr>
          <w:p>
            <w:pPr>
              <w:spacing w:after="0"/>
              <w:rPr>
                <w:sz w:val="21"/>
                <w:szCs w:val="21"/>
                <w:color w:val="auto"/>
              </w:rPr>
            </w:pPr>
          </w:p>
        </w:tc>
        <w:tc>
          <w:tcPr>
            <w:tcW w:w="11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95.1 %</w:t>
            </w:r>
          </w:p>
        </w:tc>
        <w:tc>
          <w:tcPr>
            <w:tcW w:w="120" w:type="dxa"/>
            <w:vAlign w:val="bottom"/>
          </w:tcPr>
          <w:p>
            <w:pPr>
              <w:spacing w:after="0"/>
              <w:rPr>
                <w:sz w:val="21"/>
                <w:szCs w:val="21"/>
                <w:color w:val="auto"/>
              </w:rPr>
            </w:pPr>
          </w:p>
        </w:tc>
        <w:tc>
          <w:tcPr>
            <w:tcW w:w="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1"/>
                <w:szCs w:val="21"/>
                <w:color w:val="auto"/>
              </w:rPr>
            </w:pPr>
          </w:p>
        </w:tc>
        <w:tc>
          <w:tcPr>
            <w:tcW w:w="1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53.6 %</w:t>
            </w:r>
          </w:p>
        </w:tc>
        <w:tc>
          <w:tcPr>
            <w:tcW w:w="100" w:type="dxa"/>
            <w:vAlign w:val="bottom"/>
          </w:tcPr>
          <w:p>
            <w:pPr>
              <w:spacing w:after="0"/>
              <w:rPr>
                <w:sz w:val="21"/>
                <w:szCs w:val="21"/>
                <w:color w:val="auto"/>
              </w:rPr>
            </w:pPr>
          </w:p>
        </w:tc>
        <w:tc>
          <w:tcPr>
            <w:tcW w:w="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6,047</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Homeowners</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1,565</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1100" w:type="dxa"/>
            <w:vAlign w:val="bottom"/>
            <w:tcBorders>
              <w:bottom w:val="single" w:sz="8" w:color="ACACAC"/>
            </w:tcBorders>
          </w:tcPr>
          <w:p>
            <w:pPr>
              <w:jc w:val="right"/>
              <w:ind w:right="1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1"/>
                <w:szCs w:val="21"/>
                <w:color w:val="auto"/>
              </w:rPr>
            </w:pPr>
          </w:p>
        </w:tc>
        <w:tc>
          <w:tcPr>
            <w:tcW w:w="1120" w:type="dxa"/>
            <w:vAlign w:val="bottom"/>
            <w:tcBorders>
              <w:bottom w:val="single" w:sz="8" w:color="ACACAC"/>
            </w:tcBorders>
          </w:tcPr>
          <w:p>
            <w:pPr>
              <w:jc w:val="right"/>
              <w:ind w:right="14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1,676</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Other personal lines</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100" w:type="dxa"/>
            <w:vAlign w:val="bottom"/>
            <w:tcBorders>
              <w:bottom w:val="single" w:sz="8" w:color="ACACAC"/>
            </w:tcBorders>
          </w:tcPr>
          <w:p>
            <w:pPr>
              <w:jc w:val="right"/>
              <w:ind w:right="1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1"/>
                <w:szCs w:val="21"/>
                <w:color w:val="auto"/>
              </w:rPr>
            </w:pPr>
          </w:p>
        </w:tc>
        <w:tc>
          <w:tcPr>
            <w:tcW w:w="1120" w:type="dxa"/>
            <w:vAlign w:val="bottom"/>
            <w:tcBorders>
              <w:bottom w:val="single" w:sz="8" w:color="ACACAC"/>
            </w:tcBorders>
          </w:tcPr>
          <w:p>
            <w:pPr>
              <w:jc w:val="right"/>
              <w:ind w:right="1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005BA5"/>
            </w:tcBorders>
          </w:tcPr>
          <w:p>
            <w:pPr>
              <w:ind w:left="40"/>
              <w:spacing w:after="0"/>
              <w:rPr>
                <w:sz w:val="20"/>
                <w:szCs w:val="20"/>
                <w:color w:val="auto"/>
              </w:rPr>
            </w:pPr>
            <w:r>
              <w:rPr>
                <w:rFonts w:ascii="Arial" w:cs="Arial" w:eastAsia="Arial" w:hAnsi="Arial"/>
                <w:sz w:val="14"/>
                <w:szCs w:val="14"/>
                <w:color w:val="auto"/>
              </w:rPr>
              <w:t>Commercial lines</w:t>
            </w:r>
          </w:p>
        </w:tc>
        <w:tc>
          <w:tcPr>
            <w:tcW w:w="10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1"/>
                <w:szCs w:val="21"/>
                <w:color w:val="auto"/>
              </w:rPr>
            </w:pPr>
          </w:p>
        </w:tc>
        <w:tc>
          <w:tcPr>
            <w:tcW w:w="1060" w:type="dxa"/>
            <w:vAlign w:val="bottom"/>
            <w:tcBorders>
              <w:bottom w:val="single" w:sz="8" w:color="005BA5"/>
            </w:tcBorders>
          </w:tcPr>
          <w:p>
            <w:pPr>
              <w:jc w:val="right"/>
              <w:ind w:right="10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00" w:type="dxa"/>
            <w:vAlign w:val="bottom"/>
            <w:tcBorders>
              <w:bottom w:val="single" w:sz="8" w:color="005BA5"/>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20" w:type="dxa"/>
            <w:vAlign w:val="bottom"/>
            <w:tcBorders>
              <w:bottom w:val="single" w:sz="8" w:color="005BA5"/>
            </w:tcBorders>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1"/>
                <w:szCs w:val="21"/>
                <w:color w:val="auto"/>
              </w:rPr>
            </w:pPr>
          </w:p>
        </w:tc>
        <w:tc>
          <w:tcPr>
            <w:tcW w:w="1060" w:type="dxa"/>
            <w:vAlign w:val="bottom"/>
            <w:tcBorders>
              <w:bottom w:val="single" w:sz="8" w:color="005BA5"/>
            </w:tcBorders>
          </w:tcPr>
          <w:p>
            <w:pPr>
              <w:jc w:val="right"/>
              <w:ind w:right="10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0"/>
        </w:trPr>
        <w:tc>
          <w:tcPr>
            <w:tcW w:w="31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7,544</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559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100.0 %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224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8,327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2"/>
        </w:trPr>
        <w:tc>
          <w:tcPr>
            <w:tcW w:w="3080" w:type="dxa"/>
            <w:vAlign w:val="bottom"/>
            <w:tcBorders>
              <w:top w:val="single" w:sz="8" w:color="005BA5"/>
              <w:bottom w:val="single" w:sz="8" w:color="ACACAC"/>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005BA5"/>
              <w:bottom w:val="single" w:sz="8" w:color="ACACAC"/>
            </w:tcBorders>
          </w:tcPr>
          <w:p>
            <w:pPr>
              <w:spacing w:after="0"/>
              <w:rPr>
                <w:sz w:val="14"/>
                <w:szCs w:val="14"/>
                <w:color w:val="auto"/>
              </w:rPr>
            </w:pPr>
          </w:p>
        </w:tc>
        <w:tc>
          <w:tcPr>
            <w:tcW w:w="660" w:type="dxa"/>
            <w:vAlign w:val="bottom"/>
            <w:tcBorders>
              <w:top w:val="single" w:sz="8" w:color="005BA5"/>
              <w:bottom w:val="single" w:sz="8" w:color="ACACAC"/>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005BA5"/>
              <w:bottom w:val="single" w:sz="8" w:color="ACACAC"/>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005BA5"/>
              <w:bottom w:val="single" w:sz="8" w:color="ACACAC"/>
            </w:tcBorders>
          </w:tcPr>
          <w:p>
            <w:pPr>
              <w:spacing w:after="0"/>
              <w:rPr>
                <w:sz w:val="14"/>
                <w:szCs w:val="14"/>
                <w:color w:val="auto"/>
              </w:rPr>
            </w:pPr>
          </w:p>
        </w:tc>
        <w:tc>
          <w:tcPr>
            <w:tcW w:w="680" w:type="dxa"/>
            <w:vAlign w:val="bottom"/>
            <w:tcBorders>
              <w:top w:val="single" w:sz="8" w:color="005BA5"/>
              <w:bottom w:val="single" w:sz="8" w:color="ACACAC"/>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005BA5"/>
              <w:bottom w:val="single" w:sz="8" w:color="ACACAC"/>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005BA5"/>
              <w:bottom w:val="single" w:sz="8" w:color="ACACAC"/>
            </w:tcBorders>
          </w:tcPr>
          <w:p>
            <w:pPr>
              <w:spacing w:after="0"/>
              <w:rPr>
                <w:sz w:val="14"/>
                <w:szCs w:val="14"/>
                <w:color w:val="auto"/>
              </w:rPr>
            </w:pPr>
          </w:p>
        </w:tc>
        <w:tc>
          <w:tcPr>
            <w:tcW w:w="660" w:type="dxa"/>
            <w:vAlign w:val="bottom"/>
            <w:tcBorders>
              <w:top w:val="single" w:sz="8" w:color="005BA5"/>
              <w:bottom w:val="single" w:sz="8" w:color="ACACAC"/>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005BA5"/>
              <w:bottom w:val="single" w:sz="8" w:color="ACACAC"/>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005BA5"/>
              <w:bottom w:val="single" w:sz="8" w:color="ACACAC"/>
            </w:tcBorders>
          </w:tcPr>
          <w:p>
            <w:pPr>
              <w:spacing w:after="0"/>
              <w:rPr>
                <w:sz w:val="14"/>
                <w:szCs w:val="14"/>
                <w:color w:val="auto"/>
              </w:rPr>
            </w:pPr>
          </w:p>
        </w:tc>
        <w:tc>
          <w:tcPr>
            <w:tcW w:w="660" w:type="dxa"/>
            <w:vAlign w:val="bottom"/>
            <w:tcBorders>
              <w:top w:val="single" w:sz="8" w:color="005BA5"/>
              <w:bottom w:val="single" w:sz="8" w:color="ACACAC"/>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005BA5"/>
              <w:bottom w:val="single" w:sz="8" w:color="ACACAC"/>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1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 to total Allstate Protection</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6.7 %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70"/>
        </w:trPr>
        <w:tc>
          <w:tcPr>
            <w:tcW w:w="308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CACAC"/>
              <w:bottom w:val="single" w:sz="8" w:color="ACACAC"/>
            </w:tcBorders>
          </w:tcPr>
          <w:p>
            <w:pPr>
              <w:spacing w:after="0"/>
              <w:rPr>
                <w:sz w:val="23"/>
                <w:szCs w:val="23"/>
                <w:color w:val="auto"/>
              </w:rPr>
            </w:pPr>
          </w:p>
        </w:tc>
        <w:tc>
          <w:tcPr>
            <w:tcW w:w="660" w:type="dxa"/>
            <w:vAlign w:val="bottom"/>
            <w:tcBorders>
              <w:top w:val="single" w:sz="8" w:color="ACACAC"/>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CACAC"/>
              <w:bottom w:val="single" w:sz="8" w:color="ACACAC"/>
            </w:tcBorders>
          </w:tcPr>
          <w:p>
            <w:pPr>
              <w:spacing w:after="0"/>
              <w:rPr>
                <w:sz w:val="23"/>
                <w:szCs w:val="23"/>
                <w:color w:val="auto"/>
              </w:rPr>
            </w:pPr>
          </w:p>
        </w:tc>
        <w:tc>
          <w:tcPr>
            <w:tcW w:w="68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top w:val="single" w:sz="8" w:color="ACACAC"/>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CACAC"/>
              <w:bottom w:val="single" w:sz="8" w:color="ACACAC"/>
            </w:tcBorders>
          </w:tcPr>
          <w:p>
            <w:pPr>
              <w:spacing w:after="0"/>
              <w:rPr>
                <w:sz w:val="23"/>
                <w:szCs w:val="23"/>
                <w:color w:val="auto"/>
              </w:rPr>
            </w:pPr>
          </w:p>
        </w:tc>
        <w:tc>
          <w:tcPr>
            <w:tcW w:w="66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CACAC"/>
              <w:bottom w:val="single" w:sz="8" w:color="ACACAC"/>
            </w:tcBorders>
          </w:tcPr>
          <w:p>
            <w:pPr>
              <w:spacing w:after="0"/>
              <w:rPr>
                <w:sz w:val="23"/>
                <w:szCs w:val="23"/>
                <w:color w:val="auto"/>
              </w:rPr>
            </w:pPr>
          </w:p>
        </w:tc>
        <w:tc>
          <w:tcPr>
            <w:tcW w:w="660" w:type="dxa"/>
            <w:vAlign w:val="bottom"/>
            <w:tcBorders>
              <w:top w:val="single" w:sz="8" w:color="ACACAC"/>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Borders>
              <w:top w:val="single" w:sz="8" w:color="ACACAC"/>
              <w:bottom w:val="single" w:sz="8" w:color="ACACAC"/>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b w:val="1"/>
                <w:bCs w:val="1"/>
                <w:color w:val="auto"/>
              </w:rPr>
              <w:t>PIF (thousands)</w:t>
            </w:r>
          </w:p>
        </w:tc>
        <w:tc>
          <w:tcPr>
            <w:tcW w:w="100" w:type="dxa"/>
            <w:vAlign w:val="bottom"/>
          </w:tcPr>
          <w:p>
            <w:pPr>
              <w:spacing w:after="0"/>
              <w:rPr>
                <w:sz w:val="22"/>
                <w:szCs w:val="22"/>
                <w:color w:val="auto"/>
              </w:rPr>
            </w:pPr>
          </w:p>
        </w:tc>
        <w:tc>
          <w:tcPr>
            <w:tcW w:w="120" w:type="dxa"/>
            <w:vAlign w:val="bottom"/>
            <w:tcBorders>
              <w:bottom w:val="single" w:sz="8" w:color="ACACAC"/>
            </w:tcBorders>
          </w:tcPr>
          <w:p>
            <w:pPr>
              <w:spacing w:after="0"/>
              <w:rPr>
                <w:sz w:val="22"/>
                <w:szCs w:val="22"/>
                <w:color w:val="auto"/>
              </w:rPr>
            </w:pPr>
          </w:p>
        </w:tc>
        <w:tc>
          <w:tcPr>
            <w:tcW w:w="660" w:type="dxa"/>
            <w:vAlign w:val="bottom"/>
            <w:tcBorders>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CACAC"/>
            </w:tcBorders>
          </w:tcPr>
          <w:p>
            <w:pPr>
              <w:spacing w:after="0"/>
              <w:rPr>
                <w:sz w:val="22"/>
                <w:szCs w:val="22"/>
                <w:color w:val="auto"/>
              </w:rPr>
            </w:pPr>
          </w:p>
        </w:tc>
        <w:tc>
          <w:tcPr>
            <w:tcW w:w="66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CACAC"/>
            </w:tcBorders>
          </w:tcPr>
          <w:p>
            <w:pPr>
              <w:spacing w:after="0"/>
              <w:rPr>
                <w:sz w:val="22"/>
                <w:szCs w:val="22"/>
                <w:color w:val="auto"/>
              </w:rPr>
            </w:pPr>
          </w:p>
        </w:tc>
        <w:tc>
          <w:tcPr>
            <w:tcW w:w="660" w:type="dxa"/>
            <w:vAlign w:val="bottom"/>
            <w:tcBorders>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Auto</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20,145</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65.2%</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1,548</w:t>
            </w:r>
          </w:p>
        </w:tc>
        <w:tc>
          <w:tcPr>
            <w:tcW w:w="100" w:type="dxa"/>
            <w:vAlign w:val="bottom"/>
          </w:tcPr>
          <w:p>
            <w:pPr>
              <w:spacing w:after="0"/>
              <w:rPr>
                <w:sz w:val="21"/>
                <w:szCs w:val="21"/>
                <w:color w:val="auto"/>
              </w:rPr>
            </w:pPr>
          </w:p>
        </w:tc>
        <w:tc>
          <w:tcPr>
            <w:tcW w:w="11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91.4 %</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1"/>
                <w:szCs w:val="21"/>
                <w:color w:val="auto"/>
              </w:rPr>
            </w:pPr>
          </w:p>
        </w:tc>
        <w:tc>
          <w:tcPr>
            <w:tcW w:w="1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61.2 %</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22,192</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Homeowners</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6,198</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1"/>
                <w:szCs w:val="21"/>
                <w:color w:val="auto"/>
              </w:rPr>
            </w:pPr>
          </w:p>
        </w:tc>
        <w:tc>
          <w:tcPr>
            <w:tcW w:w="1100" w:type="dxa"/>
            <w:vAlign w:val="bottom"/>
            <w:tcBorders>
              <w:bottom w:val="single" w:sz="8" w:color="ACACAC"/>
            </w:tcBorders>
          </w:tcPr>
          <w:p>
            <w:pPr>
              <w:jc w:val="right"/>
              <w:ind w:right="1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1"/>
                <w:szCs w:val="21"/>
                <w:color w:val="auto"/>
              </w:rPr>
            </w:pPr>
          </w:p>
        </w:tc>
        <w:tc>
          <w:tcPr>
            <w:tcW w:w="1120" w:type="dxa"/>
            <w:vAlign w:val="bottom"/>
            <w:tcBorders>
              <w:bottom w:val="single" w:sz="8" w:color="ACACAC"/>
            </w:tcBorders>
          </w:tcPr>
          <w:p>
            <w:pPr>
              <w:jc w:val="right"/>
              <w:ind w:right="148"/>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6,533</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Other personal lines</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4,306</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1100" w:type="dxa"/>
            <w:vAlign w:val="bottom"/>
            <w:tcBorders>
              <w:bottom w:val="single" w:sz="8" w:color="ACACAC"/>
            </w:tcBorders>
          </w:tcPr>
          <w:p>
            <w:pPr>
              <w:jc w:val="right"/>
              <w:ind w:right="12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21"/>
                <w:szCs w:val="21"/>
                <w:color w:val="auto"/>
              </w:rPr>
            </w:pPr>
          </w:p>
        </w:tc>
        <w:tc>
          <w:tcPr>
            <w:tcW w:w="1120" w:type="dxa"/>
            <w:vAlign w:val="bottom"/>
            <w:tcBorders>
              <w:bottom w:val="single" w:sz="8" w:color="ACACAC"/>
            </w:tcBorders>
          </w:tcPr>
          <w:p>
            <w:pPr>
              <w:jc w:val="right"/>
              <w:ind w:right="1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4,432</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005BA5"/>
            </w:tcBorders>
          </w:tcPr>
          <w:p>
            <w:pPr>
              <w:ind w:left="40"/>
              <w:spacing w:after="0"/>
              <w:rPr>
                <w:sz w:val="20"/>
                <w:szCs w:val="20"/>
                <w:color w:val="auto"/>
              </w:rPr>
            </w:pPr>
            <w:r>
              <w:rPr>
                <w:rFonts w:ascii="Arial" w:cs="Arial" w:eastAsia="Arial" w:hAnsi="Arial"/>
                <w:sz w:val="14"/>
                <w:szCs w:val="14"/>
                <w:color w:val="auto"/>
              </w:rPr>
              <w:t>Commercial lines</w:t>
            </w:r>
          </w:p>
        </w:tc>
        <w:tc>
          <w:tcPr>
            <w:tcW w:w="10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1"/>
                <w:szCs w:val="21"/>
                <w:color w:val="auto"/>
              </w:rPr>
            </w:pPr>
          </w:p>
        </w:tc>
        <w:tc>
          <w:tcPr>
            <w:tcW w:w="1060" w:type="dxa"/>
            <w:vAlign w:val="bottom"/>
            <w:tcBorders>
              <w:bottom w:val="single" w:sz="8" w:color="005BA5"/>
            </w:tcBorders>
          </w:tcPr>
          <w:p>
            <w:pPr>
              <w:jc w:val="right"/>
              <w:ind w:right="10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00" w:type="dxa"/>
            <w:vAlign w:val="bottom"/>
            <w:tcBorders>
              <w:bottom w:val="single" w:sz="8" w:color="005BA5"/>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20" w:type="dxa"/>
            <w:vAlign w:val="bottom"/>
            <w:tcBorders>
              <w:bottom w:val="single" w:sz="8" w:color="005BA5"/>
            </w:tcBorders>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1"/>
                <w:szCs w:val="21"/>
                <w:color w:val="auto"/>
              </w:rPr>
            </w:pPr>
          </w:p>
        </w:tc>
        <w:tc>
          <w:tcPr>
            <w:tcW w:w="1060" w:type="dxa"/>
            <w:vAlign w:val="bottom"/>
            <w:tcBorders>
              <w:bottom w:val="single" w:sz="8" w:color="005BA5"/>
            </w:tcBorders>
          </w:tcPr>
          <w:p>
            <w:pPr>
              <w:jc w:val="right"/>
              <w:ind w:right="10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50"/>
        </w:trPr>
        <w:tc>
          <w:tcPr>
            <w:tcW w:w="318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30,879</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1,694</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814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b w:val="1"/>
                <w:bCs w:val="1"/>
                <w:color w:val="auto"/>
              </w:rPr>
              <w:t>33,387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2"/>
        </w:trPr>
        <w:tc>
          <w:tcPr>
            <w:tcW w:w="3080" w:type="dxa"/>
            <w:vAlign w:val="bottom"/>
            <w:tcBorders>
              <w:top w:val="single" w:sz="8" w:color="005BA5"/>
              <w:bottom w:val="single" w:sz="8" w:color="ACACAC"/>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005BA5"/>
              <w:bottom w:val="single" w:sz="8" w:color="ACACAC"/>
            </w:tcBorders>
          </w:tcPr>
          <w:p>
            <w:pPr>
              <w:spacing w:after="0"/>
              <w:rPr>
                <w:sz w:val="14"/>
                <w:szCs w:val="14"/>
                <w:color w:val="auto"/>
              </w:rPr>
            </w:pPr>
          </w:p>
        </w:tc>
        <w:tc>
          <w:tcPr>
            <w:tcW w:w="660" w:type="dxa"/>
            <w:vAlign w:val="bottom"/>
            <w:tcBorders>
              <w:top w:val="single" w:sz="8" w:color="005BA5"/>
              <w:bottom w:val="single" w:sz="8" w:color="ACACAC"/>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005BA5"/>
              <w:bottom w:val="single" w:sz="8" w:color="ACACAC"/>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005BA5"/>
              <w:bottom w:val="single" w:sz="8" w:color="ACACAC"/>
            </w:tcBorders>
          </w:tcPr>
          <w:p>
            <w:pPr>
              <w:spacing w:after="0"/>
              <w:rPr>
                <w:sz w:val="14"/>
                <w:szCs w:val="14"/>
                <w:color w:val="auto"/>
              </w:rPr>
            </w:pPr>
          </w:p>
        </w:tc>
        <w:tc>
          <w:tcPr>
            <w:tcW w:w="680" w:type="dxa"/>
            <w:vAlign w:val="bottom"/>
            <w:tcBorders>
              <w:top w:val="single" w:sz="8" w:color="005BA5"/>
              <w:bottom w:val="single" w:sz="8" w:color="ACACAC"/>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top w:val="single" w:sz="8" w:color="005BA5"/>
              <w:bottom w:val="single" w:sz="8" w:color="ACACAC"/>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005BA5"/>
              <w:bottom w:val="single" w:sz="8" w:color="ACACAC"/>
            </w:tcBorders>
          </w:tcPr>
          <w:p>
            <w:pPr>
              <w:spacing w:after="0"/>
              <w:rPr>
                <w:sz w:val="14"/>
                <w:szCs w:val="14"/>
                <w:color w:val="auto"/>
              </w:rPr>
            </w:pPr>
          </w:p>
        </w:tc>
        <w:tc>
          <w:tcPr>
            <w:tcW w:w="660" w:type="dxa"/>
            <w:vAlign w:val="bottom"/>
            <w:tcBorders>
              <w:top w:val="single" w:sz="8" w:color="005BA5"/>
              <w:bottom w:val="single" w:sz="8" w:color="ACACAC"/>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top w:val="single" w:sz="8" w:color="005BA5"/>
              <w:bottom w:val="single" w:sz="8" w:color="ACACAC"/>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005BA5"/>
              <w:bottom w:val="single" w:sz="8" w:color="ACACAC"/>
            </w:tcBorders>
          </w:tcPr>
          <w:p>
            <w:pPr>
              <w:spacing w:after="0"/>
              <w:rPr>
                <w:sz w:val="14"/>
                <w:szCs w:val="14"/>
                <w:color w:val="auto"/>
              </w:rPr>
            </w:pPr>
          </w:p>
        </w:tc>
        <w:tc>
          <w:tcPr>
            <w:tcW w:w="660" w:type="dxa"/>
            <w:vAlign w:val="bottom"/>
            <w:tcBorders>
              <w:top w:val="single" w:sz="8" w:color="005BA5"/>
              <w:bottom w:val="single" w:sz="8" w:color="ACACAC"/>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005BA5"/>
              <w:bottom w:val="single" w:sz="8" w:color="ACACAC"/>
            </w:tcBorders>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318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 to total Allstate Protection</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92.5%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5.1 %</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2.4 %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270"/>
        </w:trPr>
        <w:tc>
          <w:tcPr>
            <w:tcW w:w="308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CACAC"/>
              <w:bottom w:val="single" w:sz="8" w:color="ACACAC"/>
            </w:tcBorders>
          </w:tcPr>
          <w:p>
            <w:pPr>
              <w:spacing w:after="0"/>
              <w:rPr>
                <w:sz w:val="23"/>
                <w:szCs w:val="23"/>
                <w:color w:val="auto"/>
              </w:rPr>
            </w:pPr>
          </w:p>
        </w:tc>
        <w:tc>
          <w:tcPr>
            <w:tcW w:w="660" w:type="dxa"/>
            <w:vAlign w:val="bottom"/>
            <w:tcBorders>
              <w:top w:val="single" w:sz="8" w:color="ACACAC"/>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CACAC"/>
              <w:bottom w:val="single" w:sz="8" w:color="ACACAC"/>
            </w:tcBorders>
          </w:tcPr>
          <w:p>
            <w:pPr>
              <w:spacing w:after="0"/>
              <w:rPr>
                <w:sz w:val="23"/>
                <w:szCs w:val="23"/>
                <w:color w:val="auto"/>
              </w:rPr>
            </w:pPr>
          </w:p>
        </w:tc>
        <w:tc>
          <w:tcPr>
            <w:tcW w:w="68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Borders>
              <w:top w:val="single" w:sz="8" w:color="ACACAC"/>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CACAC"/>
              <w:bottom w:val="single" w:sz="8" w:color="ACACAC"/>
            </w:tcBorders>
          </w:tcPr>
          <w:p>
            <w:pPr>
              <w:spacing w:after="0"/>
              <w:rPr>
                <w:sz w:val="23"/>
                <w:szCs w:val="23"/>
                <w:color w:val="auto"/>
              </w:rPr>
            </w:pPr>
          </w:p>
        </w:tc>
        <w:tc>
          <w:tcPr>
            <w:tcW w:w="66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top w:val="single" w:sz="8" w:color="ACACAC"/>
              <w:bottom w:val="single" w:sz="8" w:color="ACACAC"/>
            </w:tcBorders>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CACAC"/>
              <w:bottom w:val="single" w:sz="8" w:color="ACACAC"/>
            </w:tcBorders>
          </w:tcPr>
          <w:p>
            <w:pPr>
              <w:spacing w:after="0"/>
              <w:rPr>
                <w:sz w:val="23"/>
                <w:szCs w:val="23"/>
                <w:color w:val="auto"/>
              </w:rPr>
            </w:pPr>
          </w:p>
        </w:tc>
        <w:tc>
          <w:tcPr>
            <w:tcW w:w="660" w:type="dxa"/>
            <w:vAlign w:val="bottom"/>
            <w:tcBorders>
              <w:top w:val="single" w:sz="8" w:color="ACACAC"/>
              <w:bottom w:val="single" w:sz="8" w:color="ACACAC"/>
            </w:tcBorders>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Borders>
              <w:top w:val="single" w:sz="8" w:color="ACACAC"/>
              <w:bottom w:val="single" w:sz="8" w:color="ACACAC"/>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b w:val="1"/>
                <w:bCs w:val="1"/>
                <w:color w:val="auto"/>
              </w:rPr>
              <w:t>Underwriting income (loss)</w:t>
            </w:r>
          </w:p>
        </w:tc>
        <w:tc>
          <w:tcPr>
            <w:tcW w:w="100" w:type="dxa"/>
            <w:vAlign w:val="bottom"/>
          </w:tcPr>
          <w:p>
            <w:pPr>
              <w:spacing w:after="0"/>
              <w:rPr>
                <w:sz w:val="22"/>
                <w:szCs w:val="22"/>
                <w:color w:val="auto"/>
              </w:rPr>
            </w:pPr>
          </w:p>
        </w:tc>
        <w:tc>
          <w:tcPr>
            <w:tcW w:w="120" w:type="dxa"/>
            <w:vAlign w:val="bottom"/>
            <w:tcBorders>
              <w:bottom w:val="single" w:sz="8" w:color="ACACAC"/>
            </w:tcBorders>
          </w:tcPr>
          <w:p>
            <w:pPr>
              <w:spacing w:after="0"/>
              <w:rPr>
                <w:sz w:val="22"/>
                <w:szCs w:val="22"/>
                <w:color w:val="auto"/>
              </w:rPr>
            </w:pPr>
          </w:p>
        </w:tc>
        <w:tc>
          <w:tcPr>
            <w:tcW w:w="660" w:type="dxa"/>
            <w:vAlign w:val="bottom"/>
            <w:tcBorders>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CACAC"/>
            </w:tcBorders>
          </w:tcPr>
          <w:p>
            <w:pPr>
              <w:spacing w:after="0"/>
              <w:rPr>
                <w:sz w:val="22"/>
                <w:szCs w:val="22"/>
                <w:color w:val="auto"/>
              </w:rPr>
            </w:pPr>
          </w:p>
        </w:tc>
        <w:tc>
          <w:tcPr>
            <w:tcW w:w="68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Borders>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CACAC"/>
            </w:tcBorders>
          </w:tcPr>
          <w:p>
            <w:pPr>
              <w:spacing w:after="0"/>
              <w:rPr>
                <w:sz w:val="22"/>
                <w:szCs w:val="22"/>
                <w:color w:val="auto"/>
              </w:rPr>
            </w:pPr>
          </w:p>
        </w:tc>
        <w:tc>
          <w:tcPr>
            <w:tcW w:w="66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CACAC"/>
            </w:tcBorders>
          </w:tcPr>
          <w:p>
            <w:pPr>
              <w:spacing w:after="0"/>
              <w:rPr>
                <w:sz w:val="22"/>
                <w:szCs w:val="22"/>
                <w:color w:val="auto"/>
              </w:rPr>
            </w:pPr>
          </w:p>
        </w:tc>
        <w:tc>
          <w:tcPr>
            <w:tcW w:w="660" w:type="dxa"/>
            <w:vAlign w:val="bottom"/>
            <w:tcBorders>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CACAC"/>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Auto</w:t>
            </w:r>
          </w:p>
        </w:tc>
        <w:tc>
          <w:tcPr>
            <w:tcW w:w="100" w:type="dxa"/>
            <w:vAlign w:val="bottom"/>
          </w:tcPr>
          <w:p>
            <w:pPr>
              <w:spacing w:after="0"/>
              <w:rPr>
                <w:sz w:val="21"/>
                <w:szCs w:val="21"/>
                <w:color w:val="auto"/>
              </w:rPr>
            </w:pPr>
          </w:p>
        </w:tc>
        <w:tc>
          <w:tcPr>
            <w:tcW w:w="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72.9%</w:t>
            </w:r>
          </w:p>
        </w:tc>
        <w:tc>
          <w:tcPr>
            <w:tcW w:w="100" w:type="dxa"/>
            <w:vAlign w:val="bottom"/>
          </w:tcPr>
          <w:p>
            <w:pPr>
              <w:spacing w:after="0"/>
              <w:rPr>
                <w:sz w:val="21"/>
                <w:szCs w:val="21"/>
                <w:color w:val="auto"/>
              </w:rPr>
            </w:pPr>
          </w:p>
        </w:tc>
        <w:tc>
          <w:tcPr>
            <w:tcW w:w="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10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(33.3)%</w:t>
            </w:r>
          </w:p>
        </w:tc>
        <w:tc>
          <w:tcPr>
            <w:tcW w:w="120" w:type="dxa"/>
            <w:vAlign w:val="bottom"/>
          </w:tcPr>
          <w:p>
            <w:pPr>
              <w:spacing w:after="0"/>
              <w:rPr>
                <w:sz w:val="21"/>
                <w:szCs w:val="21"/>
                <w:color w:val="auto"/>
              </w:rPr>
            </w:pPr>
          </w:p>
        </w:tc>
        <w:tc>
          <w:tcPr>
            <w:tcW w:w="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21"/>
                <w:szCs w:val="21"/>
                <w:color w:val="auto"/>
              </w:rPr>
            </w:pPr>
          </w:p>
        </w:tc>
        <w:tc>
          <w:tcPr>
            <w:tcW w:w="12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510</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Homeowners</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100" w:type="dxa"/>
            <w:vAlign w:val="bottom"/>
            <w:tcBorders>
              <w:bottom w:val="single" w:sz="8" w:color="ACACAC"/>
            </w:tcBorders>
          </w:tcPr>
          <w:p>
            <w:pPr>
              <w:jc w:val="right"/>
              <w:ind w:right="128"/>
              <w:spacing w:after="0"/>
              <w:rPr>
                <w:sz w:val="20"/>
                <w:szCs w:val="20"/>
                <w:color w:val="auto"/>
              </w:rPr>
            </w:pPr>
            <w:r>
              <w:rPr>
                <w:rFonts w:ascii="Arial" w:cs="Arial" w:eastAsia="Arial" w:hAnsi="Arial"/>
                <w:sz w:val="14"/>
                <w:szCs w:val="14"/>
                <w:color w:val="auto"/>
              </w:rPr>
              <w:t>133.3</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120" w:type="dxa"/>
            <w:vAlign w:val="bottom"/>
            <w:tcBorders>
              <w:bottom w:val="single" w:sz="8" w:color="ACACAC"/>
            </w:tcBorders>
          </w:tcPr>
          <w:p>
            <w:pPr>
              <w:jc w:val="right"/>
              <w:ind w:right="14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Other personal lines</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00" w:type="dxa"/>
            <w:vAlign w:val="bottom"/>
            <w:tcBorders>
              <w:bottom w:val="single" w:sz="8" w:color="ACACAC"/>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112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Commercial lines</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00" w:type="dxa"/>
            <w:vAlign w:val="bottom"/>
            <w:tcBorders>
              <w:bottom w:val="single" w:sz="8" w:color="ACACAC"/>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20" w:type="dxa"/>
            <w:vAlign w:val="bottom"/>
            <w:tcBorders>
              <w:bottom w:val="single" w:sz="8" w:color="ACACAC"/>
            </w:tcBorders>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ACACAC"/>
            </w:tcBorders>
          </w:tcPr>
          <w:p>
            <w:pPr>
              <w:ind w:left="40"/>
              <w:spacing w:after="0"/>
              <w:rPr>
                <w:sz w:val="20"/>
                <w:szCs w:val="20"/>
                <w:color w:val="auto"/>
              </w:rPr>
            </w:pPr>
            <w:r>
              <w:rPr>
                <w:rFonts w:ascii="Arial" w:cs="Arial" w:eastAsia="Arial" w:hAnsi="Arial"/>
                <w:sz w:val="14"/>
                <w:szCs w:val="14"/>
                <w:color w:val="auto"/>
              </w:rPr>
              <w:t>Other business lines</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80" w:type="dxa"/>
            <w:vAlign w:val="bottom"/>
            <w:tcBorders>
              <w:bottom w:val="single" w:sz="8" w:color="ACACAC"/>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00" w:type="dxa"/>
            <w:vAlign w:val="bottom"/>
            <w:tcBorders>
              <w:bottom w:val="single" w:sz="8" w:color="ACACAC"/>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20" w:type="dxa"/>
            <w:vAlign w:val="bottom"/>
            <w:tcBorders>
              <w:bottom w:val="single" w:sz="8" w:color="ACACAC"/>
            </w:tcBorders>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ACACAC"/>
            </w:tcBorders>
          </w:tcPr>
          <w:p>
            <w:pPr>
              <w:spacing w:after="0"/>
              <w:rPr>
                <w:sz w:val="21"/>
                <w:szCs w:val="21"/>
                <w:color w:val="auto"/>
              </w:rPr>
            </w:pPr>
          </w:p>
        </w:tc>
        <w:tc>
          <w:tcPr>
            <w:tcW w:w="660" w:type="dxa"/>
            <w:vAlign w:val="bottom"/>
            <w:tcBorders>
              <w:bottom w:val="single" w:sz="8" w:color="ACACAC"/>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1"/>
                <w:szCs w:val="21"/>
                <w:color w:val="auto"/>
              </w:rPr>
            </w:pPr>
          </w:p>
        </w:tc>
        <w:tc>
          <w:tcPr>
            <w:tcW w:w="1060" w:type="dxa"/>
            <w:vAlign w:val="bottom"/>
            <w:tcBorders>
              <w:bottom w:val="single" w:sz="8" w:color="ACACAC"/>
            </w:tcBorders>
          </w:tcPr>
          <w:p>
            <w:pPr>
              <w:jc w:val="right"/>
              <w:ind w:right="10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005BA5"/>
            </w:tcBorders>
          </w:tcPr>
          <w:p>
            <w:pPr>
              <w:ind w:left="40"/>
              <w:spacing w:after="0"/>
              <w:rPr>
                <w:sz w:val="20"/>
                <w:szCs w:val="20"/>
                <w:color w:val="auto"/>
              </w:rPr>
            </w:pPr>
            <w:r>
              <w:rPr>
                <w:rFonts w:ascii="Arial" w:cs="Arial" w:eastAsia="Arial" w:hAnsi="Arial"/>
                <w:sz w:val="14"/>
                <w:szCs w:val="14"/>
                <w:color w:val="auto"/>
              </w:rPr>
              <w:t>Answer Financial</w:t>
            </w:r>
          </w:p>
        </w:tc>
        <w:tc>
          <w:tcPr>
            <w:tcW w:w="10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60" w:type="dxa"/>
            <w:vAlign w:val="bottom"/>
            <w:tcBorders>
              <w:bottom w:val="single" w:sz="8" w:color="005BA5"/>
            </w:tcBorders>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00" w:type="dxa"/>
            <w:vAlign w:val="bottom"/>
            <w:tcBorders>
              <w:bottom w:val="single" w:sz="8" w:color="005BA5"/>
            </w:tcBorders>
          </w:tcPr>
          <w:p>
            <w:pPr>
              <w:jc w:val="right"/>
              <w:ind w:right="1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120" w:type="dxa"/>
            <w:vAlign w:val="bottom"/>
            <w:tcBorders>
              <w:bottom w:val="single" w:sz="8" w:color="005BA5"/>
            </w:tcBorders>
          </w:tcPr>
          <w:p>
            <w:pPr>
              <w:jc w:val="right"/>
              <w:ind w:right="1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Borders>
              <w:bottom w:val="single" w:sz="8" w:color="005BA5"/>
            </w:tcBorders>
          </w:tcPr>
          <w:p>
            <w:pPr>
              <w:spacing w:after="0"/>
              <w:rPr>
                <w:sz w:val="21"/>
                <w:szCs w:val="21"/>
                <w:color w:val="auto"/>
              </w:rPr>
            </w:pP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60" w:type="dxa"/>
            <w:vAlign w:val="bottom"/>
            <w:tcBorders>
              <w:bottom w:val="single" w:sz="8" w:color="005BA5"/>
            </w:tcBorders>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1"/>
                <w:szCs w:val="21"/>
                <w:color w:val="auto"/>
              </w:rPr>
            </w:pPr>
          </w:p>
        </w:tc>
        <w:tc>
          <w:tcPr>
            <w:tcW w:w="12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b w:val="1"/>
                <w:bCs w:val="1"/>
                <w:color w:val="auto"/>
              </w:rPr>
              <w:t>702</w:t>
            </w:r>
          </w:p>
        </w:tc>
        <w:tc>
          <w:tcPr>
            <w:tcW w:w="120" w:type="dxa"/>
            <w:vAlign w:val="bottom"/>
          </w:tcPr>
          <w:p>
            <w:pPr>
              <w:spacing w:after="0"/>
              <w:rPr>
                <w:sz w:val="21"/>
                <w:szCs w:val="21"/>
                <w:color w:val="auto"/>
              </w:rPr>
            </w:pPr>
          </w:p>
        </w:tc>
        <w:tc>
          <w:tcPr>
            <w:tcW w:w="106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100.0%</w:t>
            </w:r>
          </w:p>
        </w:tc>
        <w:tc>
          <w:tcPr>
            <w:tcW w:w="100" w:type="dxa"/>
            <w:vAlign w:val="bottom"/>
          </w:tcPr>
          <w:p>
            <w:pPr>
              <w:spacing w:after="0"/>
              <w:rPr>
                <w:sz w:val="21"/>
                <w:szCs w:val="21"/>
                <w:color w:val="auto"/>
              </w:rPr>
            </w:pPr>
          </w:p>
        </w:tc>
        <w:tc>
          <w:tcPr>
            <w:tcW w:w="12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005BA5"/>
            </w:tcBorders>
          </w:tcPr>
          <w:p>
            <w:pPr>
              <w:jc w:val="right"/>
              <w:ind w:right="48"/>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21"/>
                <w:szCs w:val="21"/>
                <w:color w:val="auto"/>
              </w:rPr>
            </w:pPr>
          </w:p>
        </w:tc>
        <w:tc>
          <w:tcPr>
            <w:tcW w:w="110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100.0 %</w:t>
            </w:r>
          </w:p>
        </w:tc>
        <w:tc>
          <w:tcPr>
            <w:tcW w:w="120" w:type="dxa"/>
            <w:vAlign w:val="bottom"/>
          </w:tcPr>
          <w:p>
            <w:pPr>
              <w:spacing w:after="0"/>
              <w:rPr>
                <w:sz w:val="21"/>
                <w:szCs w:val="21"/>
                <w:color w:val="auto"/>
              </w:rPr>
            </w:pPr>
          </w:p>
        </w:tc>
        <w:tc>
          <w:tcPr>
            <w:tcW w:w="12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1"/>
                <w:szCs w:val="21"/>
                <w:color w:val="auto"/>
              </w:rPr>
            </w:pPr>
          </w:p>
        </w:tc>
        <w:tc>
          <w:tcPr>
            <w:tcW w:w="112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100.0 %</w:t>
            </w:r>
          </w:p>
        </w:tc>
        <w:tc>
          <w:tcPr>
            <w:tcW w:w="100" w:type="dxa"/>
            <w:vAlign w:val="bottom"/>
          </w:tcPr>
          <w:p>
            <w:pPr>
              <w:spacing w:after="0"/>
              <w:rPr>
                <w:sz w:val="21"/>
                <w:szCs w:val="21"/>
                <w:color w:val="auto"/>
              </w:rPr>
            </w:pPr>
          </w:p>
        </w:tc>
        <w:tc>
          <w:tcPr>
            <w:tcW w:w="12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005BA5"/>
            </w:tcBorders>
          </w:tcPr>
          <w:p>
            <w:pPr>
              <w:jc w:val="right"/>
              <w:ind w:right="28"/>
              <w:spacing w:after="0"/>
              <w:rPr>
                <w:sz w:val="20"/>
                <w:szCs w:val="20"/>
                <w:color w:val="auto"/>
              </w:rPr>
            </w:pPr>
            <w:r>
              <w:rPr>
                <w:rFonts w:ascii="Arial" w:cs="Arial" w:eastAsia="Arial" w:hAnsi="Arial"/>
                <w:sz w:val="14"/>
                <w:szCs w:val="14"/>
                <w:b w:val="1"/>
                <w:bCs w:val="1"/>
                <w:color w:val="auto"/>
              </w:rPr>
              <w:t>703</w:t>
            </w:r>
          </w:p>
        </w:tc>
        <w:tc>
          <w:tcPr>
            <w:tcW w:w="120" w:type="dxa"/>
            <w:vAlign w:val="bottom"/>
          </w:tcPr>
          <w:p>
            <w:pPr>
              <w:spacing w:after="0"/>
              <w:rPr>
                <w:sz w:val="21"/>
                <w:szCs w:val="21"/>
                <w:color w:val="auto"/>
              </w:rPr>
            </w:pPr>
          </w:p>
        </w:tc>
        <w:tc>
          <w:tcPr>
            <w:tcW w:w="1060" w:type="dxa"/>
            <w:vAlign w:val="bottom"/>
            <w:tcBorders>
              <w:bottom w:val="single" w:sz="8" w:color="005BA5"/>
            </w:tcBorders>
          </w:tcPr>
          <w:p>
            <w:pPr>
              <w:jc w:val="right"/>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When analyzing premium measures and statistics for all three brands the following calculations are used as described below.</w:t>
      </w:r>
    </w:p>
    <w:p>
      <w:pPr>
        <w:sectPr>
          <w:pgSz w:w="11900" w:h="16838" w:orient="portrait"/>
          <w:cols w:equalWidth="0" w:num="1">
            <w:col w:w="11420"/>
          </w:cols>
          <w:pgMar w:left="240" w:top="141" w:right="239" w:bottom="1440" w:gutter="0" w:footer="0" w:header="0"/>
        </w:sectPr>
      </w:pPr>
    </w:p>
    <w:p>
      <w:pPr>
        <w:spacing w:after="0" w:line="97" w:lineRule="exact"/>
        <w:rPr>
          <w:sz w:val="20"/>
          <w:szCs w:val="20"/>
          <w:color w:val="auto"/>
        </w:rPr>
      </w:pPr>
    </w:p>
    <w:p>
      <w:pPr>
        <w:ind w:left="340" w:right="40" w:hanging="251"/>
        <w:spacing w:after="0" w:line="255" w:lineRule="auto"/>
        <w:tabs>
          <w:tab w:leader="none" w:pos="340" w:val="left"/>
        </w:tabs>
        <w:numPr>
          <w:ilvl w:val="0"/>
          <w:numId w:val="39"/>
        </w:numPr>
        <w:rPr>
          <w:rFonts w:ascii="Arial" w:cs="Arial" w:eastAsia="Arial" w:hAnsi="Arial"/>
          <w:sz w:val="16"/>
          <w:szCs w:val="16"/>
          <w:color w:val="005BA5"/>
        </w:rPr>
      </w:pPr>
      <w:r>
        <w:rPr>
          <w:rFonts w:ascii="Arial" w:cs="Arial" w:eastAsia="Arial" w:hAnsi="Arial"/>
          <w:sz w:val="16"/>
          <w:szCs w:val="16"/>
          <w:i w:val="1"/>
          <w:iCs w:val="1"/>
          <w:color w:val="005BA5"/>
        </w:rPr>
        <w:t>PIF</w:t>
      </w:r>
      <w:r>
        <w:rPr>
          <w:rFonts w:ascii="Arial" w:cs="Arial" w:eastAsia="Arial" w:hAnsi="Arial"/>
          <w:sz w:val="16"/>
          <w:szCs w:val="16"/>
          <w:color w:val="000000"/>
        </w:rPr>
        <w:t>: Policy counts are based on items rather than customers. A multi-car customer would generate multiple item (policy) counts, even if all cars were insured under one policy. Commercial lines PIF for the agreement with a transportation network company reflects corporate contracts as opposed to individual driver counts.</w:t>
      </w:r>
    </w:p>
    <w:p>
      <w:pPr>
        <w:spacing w:after="0" w:line="75" w:lineRule="exact"/>
        <w:rPr>
          <w:rFonts w:ascii="Arial" w:cs="Arial" w:eastAsia="Arial" w:hAnsi="Arial"/>
          <w:sz w:val="16"/>
          <w:szCs w:val="16"/>
          <w:color w:val="005BA5"/>
        </w:rPr>
      </w:pPr>
    </w:p>
    <w:p>
      <w:pPr>
        <w:ind w:left="340" w:hanging="251"/>
        <w:spacing w:after="0" w:line="253" w:lineRule="auto"/>
        <w:tabs>
          <w:tab w:leader="none" w:pos="340" w:val="left"/>
        </w:tabs>
        <w:numPr>
          <w:ilvl w:val="0"/>
          <w:numId w:val="39"/>
        </w:numPr>
        <w:rPr>
          <w:rFonts w:ascii="Arial" w:cs="Arial" w:eastAsia="Arial" w:hAnsi="Arial"/>
          <w:sz w:val="16"/>
          <w:szCs w:val="16"/>
          <w:color w:val="005BA5"/>
        </w:rPr>
      </w:pPr>
      <w:r>
        <w:rPr>
          <w:rFonts w:ascii="Arial" w:cs="Arial" w:eastAsia="Arial" w:hAnsi="Arial"/>
          <w:sz w:val="16"/>
          <w:szCs w:val="16"/>
          <w:i w:val="1"/>
          <w:iCs w:val="1"/>
          <w:color w:val="005BA5"/>
        </w:rPr>
        <w:t>New issued applications</w:t>
      </w:r>
      <w:r>
        <w:rPr>
          <w:rFonts w:ascii="Arial" w:cs="Arial" w:eastAsia="Arial" w:hAnsi="Arial"/>
          <w:sz w:val="16"/>
          <w:szCs w:val="16"/>
          <w:color w:val="000000"/>
        </w:rPr>
        <w:t>: Item counts of automobile or homeowner</w:t>
      </w:r>
      <w:r>
        <w:rPr>
          <w:rFonts w:ascii="Arial" w:cs="Arial" w:eastAsia="Arial" w:hAnsi="Arial"/>
          <w:sz w:val="16"/>
          <w:szCs w:val="16"/>
          <w:i w:val="1"/>
          <w:iCs w:val="1"/>
          <w:color w:val="005BA5"/>
        </w:rPr>
        <w:t xml:space="preserve"> </w:t>
      </w:r>
      <w:r>
        <w:rPr>
          <w:rFonts w:ascii="Arial" w:cs="Arial" w:eastAsia="Arial" w:hAnsi="Arial"/>
          <w:sz w:val="16"/>
          <w:szCs w:val="16"/>
          <w:color w:val="000000"/>
        </w:rPr>
        <w:t>insurance applications for insurance policies that were issued during the period, regardless of whether the customer was previously insured by another Allstate Protection brand. Allstate brand includes automobiles added by existing customers when they exceed the number allowed (currently 10) on a policy.</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ind w:left="237" w:right="100" w:hanging="237"/>
        <w:spacing w:after="0" w:line="250" w:lineRule="auto"/>
        <w:tabs>
          <w:tab w:leader="none" w:pos="237" w:val="left"/>
        </w:tabs>
        <w:numPr>
          <w:ilvl w:val="0"/>
          <w:numId w:val="40"/>
        </w:numPr>
        <w:rPr>
          <w:rFonts w:ascii="Arial" w:cs="Arial" w:eastAsia="Arial" w:hAnsi="Arial"/>
          <w:sz w:val="16"/>
          <w:szCs w:val="16"/>
          <w:i w:val="1"/>
          <w:iCs w:val="1"/>
          <w:color w:val="005BA5"/>
        </w:rPr>
      </w:pPr>
      <w:r>
        <w:rPr>
          <w:rFonts w:ascii="Arial" w:cs="Arial" w:eastAsia="Arial" w:hAnsi="Arial"/>
          <w:sz w:val="16"/>
          <w:szCs w:val="16"/>
          <w:i w:val="1"/>
          <w:iCs w:val="1"/>
          <w:color w:val="005BA5"/>
        </w:rPr>
        <w:t>Average premium-gross written (“average premium”)</w:t>
      </w:r>
      <w:r>
        <w:rPr>
          <w:rFonts w:ascii="Arial" w:cs="Arial" w:eastAsia="Arial" w:hAnsi="Arial"/>
          <w:sz w:val="16"/>
          <w:szCs w:val="16"/>
          <w:color w:val="000000"/>
        </w:rPr>
        <w:t>: Gross premiums</w:t>
      </w:r>
      <w:r>
        <w:rPr>
          <w:rFonts w:ascii="Arial" w:cs="Arial" w:eastAsia="Arial" w:hAnsi="Arial"/>
          <w:sz w:val="16"/>
          <w:szCs w:val="16"/>
          <w:i w:val="1"/>
          <w:iCs w:val="1"/>
          <w:color w:val="005BA5"/>
        </w:rPr>
        <w:t xml:space="preserve"> </w:t>
      </w:r>
      <w:r>
        <w:rPr>
          <w:rFonts w:ascii="Arial" w:cs="Arial" w:eastAsia="Arial" w:hAnsi="Arial"/>
          <w:sz w:val="16"/>
          <w:szCs w:val="16"/>
          <w:color w:val="000000"/>
        </w:rPr>
        <w:t>written divided by issued item count. Gross premiums written include the impacts from discounts, surcharges and ceded reinsurance premiums and exclude the impacts from mid-term premium adjustments and premium refund accruals. Average premiums represent the appropriate policy term for each line. Allstate and Esurance brand policy terms are 6 months for auto and 12 months for homeowners. Encompass brand policy terms are generally 12 months for auto and homeowners.</w:t>
      </w:r>
    </w:p>
    <w:p>
      <w:pPr>
        <w:spacing w:after="0" w:line="84" w:lineRule="exact"/>
        <w:rPr>
          <w:rFonts w:ascii="Arial" w:cs="Arial" w:eastAsia="Arial" w:hAnsi="Arial"/>
          <w:sz w:val="16"/>
          <w:szCs w:val="16"/>
          <w:i w:val="1"/>
          <w:iCs w:val="1"/>
          <w:color w:val="005BA5"/>
        </w:rPr>
      </w:pPr>
    </w:p>
    <w:p>
      <w:pPr>
        <w:ind w:left="237" w:right="280" w:hanging="237"/>
        <w:spacing w:after="0" w:line="258" w:lineRule="auto"/>
        <w:tabs>
          <w:tab w:leader="none" w:pos="237" w:val="left"/>
        </w:tabs>
        <w:numPr>
          <w:ilvl w:val="0"/>
          <w:numId w:val="40"/>
        </w:numPr>
        <w:rPr>
          <w:rFonts w:ascii="Arial" w:cs="Arial" w:eastAsia="Arial" w:hAnsi="Arial"/>
          <w:sz w:val="16"/>
          <w:szCs w:val="16"/>
          <w:color w:val="005BA5"/>
        </w:rPr>
      </w:pPr>
      <w:r>
        <w:rPr>
          <w:rFonts w:ascii="Arial" w:cs="Arial" w:eastAsia="Arial" w:hAnsi="Arial"/>
          <w:sz w:val="16"/>
          <w:szCs w:val="16"/>
          <w:i w:val="1"/>
          <w:iCs w:val="1"/>
          <w:color w:val="005BA5"/>
        </w:rPr>
        <w:t>Renewal ratio</w:t>
      </w:r>
      <w:r>
        <w:rPr>
          <w:rFonts w:ascii="Arial" w:cs="Arial" w:eastAsia="Arial" w:hAnsi="Arial"/>
          <w:sz w:val="16"/>
          <w:szCs w:val="16"/>
          <w:color w:val="000000"/>
        </w:rPr>
        <w:t>: Renewal policy item counts issued during the period,</w:t>
      </w:r>
      <w:r>
        <w:rPr>
          <w:rFonts w:ascii="Arial" w:cs="Arial" w:eastAsia="Arial" w:hAnsi="Arial"/>
          <w:sz w:val="16"/>
          <w:szCs w:val="16"/>
          <w:i w:val="1"/>
          <w:iCs w:val="1"/>
          <w:color w:val="005BA5"/>
        </w:rPr>
        <w:t xml:space="preserve"> </w:t>
      </w:r>
      <w:r>
        <w:rPr>
          <w:rFonts w:ascii="Arial" w:cs="Arial" w:eastAsia="Arial" w:hAnsi="Arial"/>
          <w:sz w:val="16"/>
          <w:szCs w:val="16"/>
          <w:color w:val="000000"/>
        </w:rPr>
        <w:t>based on contract effective dates, divided by the total policy item counts issued 6 months prior for auto (generally 12 months prior for Encompass brand) or 12 months prior for homeowners.</w:t>
      </w:r>
    </w:p>
    <w:p>
      <w:pPr>
        <w:spacing w:after="0" w:line="200" w:lineRule="exact"/>
        <w:rPr>
          <w:sz w:val="20"/>
          <w:szCs w:val="20"/>
          <w:color w:val="auto"/>
        </w:rPr>
      </w:pPr>
    </w:p>
    <w:p>
      <w:pPr>
        <w:sectPr>
          <w:pgSz w:w="11900" w:h="16838" w:orient="portrait"/>
          <w:cols w:equalWidth="0" w:num="2">
            <w:col w:w="5360" w:space="663"/>
            <w:col w:w="5397"/>
          </w:cols>
          <w:pgMar w:left="240" w:top="141" w:right="239" w:bottom="1440" w:gutter="0" w:footer="0" w:header="0"/>
          <w:type w:val="continuous"/>
        </w:sectPr>
      </w:pPr>
    </w:p>
    <w:p>
      <w:pPr>
        <w:spacing w:after="0" w:line="132"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59</w:t>
      </w:r>
    </w:p>
    <w:p>
      <w:pPr>
        <w:sectPr>
          <w:pgSz w:w="11900" w:h="16838" w:orient="portrait"/>
          <w:cols w:equalWidth="0" w:num="1">
            <w:col w:w="11420"/>
          </w:cols>
          <w:pgMar w:left="240" w:top="141"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color w:val="1666AF"/>
        </w:rPr>
        <w:t xml:space="preserve">Segment Results </w:t>
      </w:r>
      <w:r>
        <w:rPr>
          <w:rFonts w:ascii="Arial" w:cs="Arial" w:eastAsia="Arial" w:hAnsi="Arial"/>
          <w:sz w:val="16"/>
          <w:szCs w:val="16"/>
          <w:color w:val="000000"/>
        </w:rPr>
        <w:t>Allstate Protection: Allstate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1108075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3117850</wp:posOffset>
            </wp:positionH>
            <wp:positionV relativeFrom="paragraph">
              <wp:posOffset>224790</wp:posOffset>
            </wp:positionV>
            <wp:extent cx="1029335" cy="7975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933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 written</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7,544</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7,128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 earned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7,752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7,329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Claims and claims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(4,548)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DAC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Restructuring and related charges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702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1,001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Catastrophe losses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329</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60" w:type="dxa"/>
            <w:vAlign w:val="bottom"/>
            <w:tcBorders>
              <w:top w:val="single" w:sz="8" w:color="005BA5"/>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top w:val="single" w:sz="8" w:color="005BA5"/>
              <w:bottom w:val="single" w:sz="8" w:color="auto"/>
            </w:tcBorders>
          </w:tcPr>
          <w:p>
            <w:pPr>
              <w:spacing w:after="0"/>
              <w:rPr>
                <w:sz w:val="13"/>
                <w:szCs w:val="13"/>
                <w:color w:val="auto"/>
              </w:rPr>
            </w:pPr>
          </w:p>
        </w:tc>
        <w:tc>
          <w:tcPr>
            <w:tcW w:w="1040" w:type="dxa"/>
            <w:vAlign w:val="bottom"/>
            <w:tcBorders>
              <w:top w:val="single" w:sz="8" w:color="005BA5"/>
              <w:bottom w:val="single" w:sz="8" w:color="auto"/>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 (loss) by line of business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611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Other personal lines </w:t>
            </w:r>
            <w:r>
              <w:rPr>
                <w:rFonts w:ascii="Arial" w:cs="Arial" w:eastAsia="Arial" w:hAnsi="Arial"/>
                <w:sz w:val="27"/>
                <w:szCs w:val="27"/>
                <w:color w:val="005BA5"/>
                <w:vertAlign w:val="superscript"/>
              </w:rPr>
              <w:t>(1)</w:t>
            </w:r>
          </w:p>
        </w:tc>
        <w:tc>
          <w:tcPr>
            <w:tcW w:w="12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51</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Commercial lines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005BA5"/>
            </w:tcBorders>
          </w:tcPr>
          <w:p>
            <w:pPr>
              <w:ind w:left="40"/>
              <w:spacing w:after="0" w:line="250" w:lineRule="exact"/>
              <w:rPr>
                <w:sz w:val="20"/>
                <w:szCs w:val="20"/>
                <w:color w:val="auto"/>
              </w:rPr>
            </w:pPr>
            <w:r>
              <w:rPr>
                <w:rFonts w:ascii="Arial" w:cs="Arial" w:eastAsia="Arial" w:hAnsi="Arial"/>
                <w:sz w:val="16"/>
                <w:szCs w:val="16"/>
                <w:color w:val="auto"/>
              </w:rPr>
              <w:t xml:space="preserve">Other business lines </w:t>
            </w:r>
            <w:r>
              <w:rPr>
                <w:rFonts w:ascii="Arial" w:cs="Arial" w:eastAsia="Arial" w:hAnsi="Arial"/>
                <w:sz w:val="27"/>
                <w:szCs w:val="27"/>
                <w:color w:val="005BA5"/>
                <w:vertAlign w:val="superscript"/>
              </w:rPr>
              <w:t>(2)</w:t>
            </w:r>
          </w:p>
        </w:tc>
        <w:tc>
          <w:tcPr>
            <w:tcW w:w="12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4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8</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702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1,001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1" w:lineRule="exact"/>
        <w:rPr>
          <w:sz w:val="20"/>
          <w:szCs w:val="20"/>
          <w:color w:val="auto"/>
        </w:rPr>
      </w:pPr>
    </w:p>
    <w:p>
      <w:pPr>
        <w:ind w:left="280" w:hanging="191"/>
        <w:spacing w:after="0"/>
        <w:tabs>
          <w:tab w:leader="none" w:pos="280" w:val="left"/>
        </w:tabs>
        <w:numPr>
          <w:ilvl w:val="0"/>
          <w:numId w:val="41"/>
        </w:numPr>
        <w:rPr>
          <w:rFonts w:ascii="Arial" w:cs="Arial" w:eastAsia="Arial" w:hAnsi="Arial"/>
          <w:sz w:val="23"/>
          <w:szCs w:val="23"/>
          <w:color w:val="005BA5"/>
          <w:vertAlign w:val="superscript"/>
        </w:rPr>
      </w:pPr>
      <w:r>
        <w:rPr>
          <w:rFonts w:ascii="Arial" w:cs="Arial" w:eastAsia="Arial" w:hAnsi="Arial"/>
          <w:sz w:val="14"/>
          <w:szCs w:val="14"/>
          <w:color w:val="auto"/>
        </w:rPr>
        <w:t>Other personal lines include renters, condominium, landlord and other personal lines products.</w:t>
      </w:r>
    </w:p>
    <w:p>
      <w:pPr>
        <w:spacing w:after="0" w:line="43" w:lineRule="exact"/>
        <w:rPr>
          <w:rFonts w:ascii="Arial" w:cs="Arial" w:eastAsia="Arial" w:hAnsi="Arial"/>
          <w:sz w:val="23"/>
          <w:szCs w:val="23"/>
          <w:color w:val="005BA5"/>
          <w:vertAlign w:val="superscript"/>
        </w:rPr>
      </w:pPr>
    </w:p>
    <w:p>
      <w:pPr>
        <w:ind w:left="280" w:hanging="191"/>
        <w:spacing w:after="0" w:line="199" w:lineRule="auto"/>
        <w:tabs>
          <w:tab w:leader="none" w:pos="280" w:val="left"/>
        </w:tabs>
        <w:numPr>
          <w:ilvl w:val="0"/>
          <w:numId w:val="41"/>
        </w:numPr>
        <w:rPr>
          <w:rFonts w:ascii="Arial" w:cs="Arial" w:eastAsia="Arial" w:hAnsi="Arial"/>
          <w:sz w:val="18"/>
          <w:szCs w:val="18"/>
          <w:color w:val="005BA5"/>
          <w:vertAlign w:val="superscript"/>
        </w:rPr>
      </w:pPr>
      <w:r>
        <w:rPr>
          <w:rFonts w:ascii="Arial" w:cs="Arial" w:eastAsia="Arial" w:hAnsi="Arial"/>
          <w:sz w:val="12"/>
          <w:szCs w:val="12"/>
          <w:color w:val="auto"/>
        </w:rPr>
        <w:t>Other business lines represent Ivantage.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Changes in underwriting results from prior year by component </w:t>
      </w:r>
      <w:r>
        <w:rPr>
          <w:rFonts w:ascii="Arial" w:cs="Arial" w:eastAsia="Arial" w:hAnsi="Arial"/>
          <w:sz w:val="27"/>
          <w:szCs w:val="27"/>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Underwriting income (loss) - prior period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1,001</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636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Changes in underwriting income (loss) from:</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premiums earned</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other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incurred claims and claims expense (“losses”):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Incurred losses, excluding catastrophe losses and reserve reestimates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Catastrophe losses, excluding reserve reestimates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Catastrophe reserve reestimates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Non-catastrophe reserve reestimates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color w:val="auto"/>
              </w:rPr>
              <w:t>Losses subtotal</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702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1,001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1" w:lineRule="exact"/>
        <w:rPr>
          <w:sz w:val="20"/>
          <w:szCs w:val="20"/>
          <w:color w:val="auto"/>
        </w:rPr>
      </w:pPr>
    </w:p>
    <w:p>
      <w:pPr>
        <w:ind w:left="280" w:hanging="191"/>
        <w:spacing w:after="0"/>
        <w:tabs>
          <w:tab w:leader="none" w:pos="280" w:val="left"/>
        </w:tabs>
        <w:numPr>
          <w:ilvl w:val="0"/>
          <w:numId w:val="42"/>
        </w:numPr>
        <w:rPr>
          <w:rFonts w:ascii="Arial" w:cs="Arial" w:eastAsia="Arial" w:hAnsi="Arial"/>
          <w:sz w:val="23"/>
          <w:szCs w:val="23"/>
          <w:color w:val="005BA5"/>
          <w:vertAlign w:val="superscript"/>
        </w:rPr>
      </w:pPr>
      <w:r>
        <w:rPr>
          <w:rFonts w:ascii="Arial" w:cs="Arial" w:eastAsia="Arial" w:hAnsi="Arial"/>
          <w:sz w:val="14"/>
          <w:szCs w:val="14"/>
          <w:color w:val="auto"/>
        </w:rPr>
        <w:t>The 2019 column presents changes in 2019 compared to 2018. The 2018 column presents changes in 2018 compared to 2017.</w:t>
      </w:r>
    </w:p>
    <w:p>
      <w:pPr>
        <w:spacing w:after="0" w:line="108" w:lineRule="exact"/>
        <w:rPr>
          <w:sz w:val="20"/>
          <w:szCs w:val="20"/>
          <w:color w:val="auto"/>
        </w:rPr>
      </w:pPr>
    </w:p>
    <w:p>
      <w:pPr>
        <w:ind w:right="440" w:firstLine="324"/>
        <w:spacing w:after="0" w:line="253" w:lineRule="auto"/>
        <w:rPr>
          <w:sz w:val="20"/>
          <w:szCs w:val="20"/>
          <w:color w:val="auto"/>
        </w:rPr>
      </w:pPr>
      <w:r>
        <w:rPr>
          <w:rFonts w:ascii="Arial" w:cs="Arial" w:eastAsia="Arial" w:hAnsi="Arial"/>
          <w:sz w:val="16"/>
          <w:szCs w:val="16"/>
          <w:i w:val="1"/>
          <w:iCs w:val="1"/>
          <w:color w:val="1666AF"/>
        </w:rPr>
        <w:t xml:space="preserve">Underwriting income </w:t>
      </w:r>
      <w:r>
        <w:rPr>
          <w:rFonts w:ascii="Arial" w:cs="Arial" w:eastAsia="Arial" w:hAnsi="Arial"/>
          <w:sz w:val="16"/>
          <w:szCs w:val="16"/>
          <w:color w:val="000000"/>
        </w:rPr>
        <w:t>totaled $702 million in the first quarter of 2019 decreasing from $1.00 billion in the first quarter of 2018, primarily due to higher</w:t>
      </w:r>
      <w:r>
        <w:rPr>
          <w:rFonts w:ascii="Arial" w:cs="Arial" w:eastAsia="Arial" w:hAnsi="Arial"/>
          <w:sz w:val="16"/>
          <w:szCs w:val="16"/>
          <w:i w:val="1"/>
          <w:iCs w:val="1"/>
          <w:color w:val="1666AF"/>
        </w:rPr>
        <w:t xml:space="preserve"> </w:t>
      </w:r>
      <w:r>
        <w:rPr>
          <w:rFonts w:ascii="Arial" w:cs="Arial" w:eastAsia="Arial" w:hAnsi="Arial"/>
          <w:sz w:val="16"/>
          <w:szCs w:val="16"/>
          <w:color w:val="000000"/>
        </w:rPr>
        <w:t>catastrophe losses, claim severity and agent compensation and advertising costs, partially offset by increased premiums earned and improved auto claim frequency.</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60 </w:t>
      </w:r>
      <w:r>
        <w:rPr>
          <w:sz w:val="1"/>
          <w:szCs w:val="1"/>
          <w:color w:val="auto"/>
        </w:rPr>
        <w:drawing>
          <wp:inline distT="0" distB="0" distL="0" distR="0">
            <wp:extent cx="111760" cy="11176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420"/>
          </w:cols>
          <w:pgMar w:left="240" w:top="141" w:right="239" w:bottom="1440" w:gutter="0" w:footer="0" w:header="0"/>
        </w:sectPr>
      </w:pPr>
    </w:p>
    <w:bookmarkStart w:id="64" w:name="page65"/>
    <w:bookmarkEnd w:id="64"/>
    <w:p>
      <w:pPr>
        <w:ind w:left="7760"/>
        <w:spacing w:after="0"/>
        <w:rPr>
          <w:sz w:val="20"/>
          <w:szCs w:val="20"/>
          <w:color w:val="auto"/>
        </w:rPr>
      </w:pPr>
      <w:r>
        <w:rPr>
          <w:rFonts w:ascii="Arial" w:cs="Arial" w:eastAsia="Arial" w:hAnsi="Arial"/>
          <w:sz w:val="16"/>
          <w:szCs w:val="16"/>
          <w:color w:val="auto"/>
        </w:rPr>
        <w:t xml:space="preserve">Allstate Protection: Allstate brand </w:t>
      </w:r>
      <w:r>
        <w:rPr>
          <w:rFonts w:ascii="Arial" w:cs="Arial" w:eastAsia="Arial" w:hAnsi="Arial"/>
          <w:sz w:val="16"/>
          <w:szCs w:val="16"/>
          <w:color w:val="1666AF"/>
        </w:rPr>
        <w:t>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Premiums written and earned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20"/>
                <w:szCs w:val="20"/>
                <w:color w:val="auto"/>
              </w:rPr>
            </w:pPr>
          </w:p>
        </w:tc>
        <w:tc>
          <w:tcPr>
            <w:tcW w:w="26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49"/>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Premiums written</w:t>
            </w:r>
          </w:p>
        </w:tc>
        <w:tc>
          <w:tcPr>
            <w:tcW w:w="240" w:type="dxa"/>
            <w:vAlign w:val="bottom"/>
          </w:tcPr>
          <w:p>
            <w:pPr>
              <w:spacing w:after="0"/>
              <w:rPr>
                <w:sz w:val="21"/>
                <w:szCs w:val="21"/>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5,395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5,151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375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Subtotal – Personal lines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6,991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Commercial lines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7,544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7,128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Premiums earned</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5,321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5,046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1,727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420</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Subtotal – Personal lines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7,193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Commercial lines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7,752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7,329</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129"/>
        </w:trPr>
        <w:tc>
          <w:tcPr>
            <w:tcW w:w="8580" w:type="dxa"/>
            <w:vAlign w:val="bottom"/>
            <w:tcBorders>
              <w:bottom w:val="single" w:sz="8" w:color="auto"/>
            </w:tcBorders>
            <w:gridSpan w:val="2"/>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257"/>
        </w:trPr>
        <w:tc>
          <w:tcPr>
            <w:tcW w:w="8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Auto premium measures and statistics</w:t>
            </w: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37"/>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70"/>
        </w:trPr>
        <w:tc>
          <w:tcPr>
            <w:tcW w:w="8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PIF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issued applications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3682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Renewal ratio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Approved rate changes </w:t>
      </w:r>
      <w:r>
        <w:rPr>
          <w:rFonts w:ascii="Arial" w:cs="Arial" w:eastAsia="Arial" w:hAnsi="Arial"/>
          <w:sz w:val="27"/>
          <w:szCs w:val="27"/>
          <w:color w:val="005BA5"/>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682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60" w:type="dxa"/>
            <w:vAlign w:val="bottom"/>
          </w:tcPr>
          <w:p>
            <w:pPr>
              <w:spacing w:after="0"/>
              <w:rPr>
                <w:sz w:val="17"/>
                <w:szCs w:val="17"/>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20,145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19,617</w:t>
            </w:r>
          </w:p>
        </w:tc>
      </w:tr>
      <w:tr>
        <w:trPr>
          <w:trHeight w:val="33"/>
        </w:trPr>
        <w:tc>
          <w:tcPr>
            <w:tcW w:w="46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46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714</w:t>
            </w:r>
          </w:p>
        </w:tc>
      </w:tr>
      <w:tr>
        <w:trPr>
          <w:trHeight w:val="33"/>
        </w:trPr>
        <w:tc>
          <w:tcPr>
            <w:tcW w:w="46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578</w:t>
            </w:r>
          </w:p>
        </w:tc>
        <w:tc>
          <w:tcPr>
            <w:tcW w:w="10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564</w:t>
            </w:r>
          </w:p>
        </w:tc>
      </w:tr>
      <w:tr>
        <w:trPr>
          <w:trHeight w:val="33"/>
        </w:trPr>
        <w:tc>
          <w:tcPr>
            <w:tcW w:w="46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46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88.3</w:t>
            </w:r>
          </w:p>
        </w:tc>
      </w:tr>
      <w:tr>
        <w:trPr>
          <w:trHeight w:val="33"/>
        </w:trPr>
        <w:tc>
          <w:tcPr>
            <w:tcW w:w="46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18008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7860" w:space="720"/>
            <w:col w:w="2840"/>
          </w:cols>
          <w:pgMar w:left="240" w:top="141" w:right="239" w:bottom="1440" w:gutter="0" w:footer="0" w:header="0"/>
          <w:type w:val="continuous"/>
        </w:sectPr>
      </w:pPr>
    </w:p>
    <w:p>
      <w:pPr>
        <w:ind w:left="180"/>
        <w:spacing w:after="0" w:line="208" w:lineRule="auto"/>
        <w:rPr>
          <w:sz w:val="20"/>
          <w:szCs w:val="20"/>
          <w:color w:val="auto"/>
        </w:rPr>
      </w:pPr>
      <w:r>
        <w:rPr>
          <w:rFonts w:ascii="Arial" w:cs="Arial" w:eastAsia="Arial" w:hAnsi="Arial"/>
          <w:sz w:val="16"/>
          <w:szCs w:val="16"/>
          <w:color w:val="auto"/>
        </w:rPr>
        <w:t xml:space="preserve">Number of locations </w:t>
      </w:r>
      <w:r>
        <w:rPr>
          <w:rFonts w:ascii="Arial" w:cs="Arial" w:eastAsia="Arial" w:hAnsi="Arial"/>
          <w:sz w:val="27"/>
          <w:szCs w:val="27"/>
          <w:color w:val="005BA5"/>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3682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180"/>
        <w:spacing w:after="0" w:line="209" w:lineRule="auto"/>
        <w:rPr>
          <w:sz w:val="20"/>
          <w:szCs w:val="20"/>
          <w:color w:val="auto"/>
        </w:rPr>
      </w:pPr>
      <w:r>
        <w:rPr>
          <w:rFonts w:ascii="Arial" w:cs="Arial" w:eastAsia="Arial" w:hAnsi="Arial"/>
          <w:sz w:val="16"/>
          <w:szCs w:val="16"/>
          <w:color w:val="auto"/>
        </w:rPr>
        <w:t xml:space="preserve">Total brand (%) </w:t>
      </w:r>
      <w:r>
        <w:rPr>
          <w:rFonts w:ascii="Arial" w:cs="Arial" w:eastAsia="Arial" w:hAnsi="Arial"/>
          <w:sz w:val="27"/>
          <w:szCs w:val="27"/>
          <w:color w:val="005BA5"/>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3682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 xml:space="preserve">Location specific (%) </w:t>
      </w:r>
      <w:r>
        <w:rPr>
          <w:rFonts w:ascii="Arial" w:cs="Arial" w:eastAsia="Arial" w:hAnsi="Arial"/>
          <w:sz w:val="23"/>
          <w:szCs w:val="23"/>
          <w:color w:val="005BA5"/>
          <w:vertAlign w:val="superscript"/>
        </w:rPr>
        <w:t>(4)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3682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5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27940</wp:posOffset>
            </wp:positionV>
            <wp:extent cx="87503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49530</wp:posOffset>
            </wp:positionV>
            <wp:extent cx="8750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49530</wp:posOffset>
            </wp:positionV>
            <wp:extent cx="8750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27940</wp:posOffset>
            </wp:positionV>
            <wp:extent cx="85788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42545</wp:posOffset>
            </wp:positionV>
            <wp:extent cx="85788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42545</wp:posOffset>
            </wp:positionV>
            <wp:extent cx="85788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3">
            <w:col w:w="8940" w:space="720"/>
            <w:col w:w="720" w:space="720"/>
            <w:col w:w="320"/>
          </w:cols>
          <w:pgMar w:left="240" w:top="141" w:right="239" w:bottom="1440" w:gutter="0" w:footer="0" w:header="0"/>
          <w:type w:val="continuous"/>
        </w:sectPr>
      </w:pPr>
    </w:p>
    <w:p>
      <w:pPr>
        <w:ind w:left="280" w:right="240" w:hanging="191"/>
        <w:spacing w:after="0" w:line="188" w:lineRule="auto"/>
        <w:tabs>
          <w:tab w:leader="none" w:pos="280" w:val="left"/>
        </w:tabs>
        <w:numPr>
          <w:ilvl w:val="0"/>
          <w:numId w:val="43"/>
        </w:numPr>
        <w:rPr>
          <w:rFonts w:ascii="Arial" w:cs="Arial" w:eastAsia="Arial" w:hAnsi="Arial"/>
          <w:sz w:val="23"/>
          <w:szCs w:val="23"/>
          <w:color w:val="005BA5"/>
          <w:vertAlign w:val="superscript"/>
        </w:rPr>
      </w:pPr>
      <w:r>
        <w:rPr>
          <w:rFonts w:ascii="Arial" w:cs="Arial" w:eastAsia="Arial" w:hAnsi="Arial"/>
          <w:sz w:val="14"/>
          <w:szCs w:val="14"/>
          <w:color w:val="auto"/>
        </w:rPr>
        <w:t>Rate changes do not include rating plan enhancements, including the introduction of discounts and surcharges that result in no change in the overall rate level in a location. These rate changes do not reflect initial rates filed for insurance subsidiaries initially writing business in a location.</w:t>
      </w:r>
    </w:p>
    <w:p>
      <w:pPr>
        <w:spacing w:after="0" w:line="1" w:lineRule="exact"/>
        <w:rPr>
          <w:rFonts w:ascii="Arial" w:cs="Arial" w:eastAsia="Arial" w:hAnsi="Arial"/>
          <w:sz w:val="23"/>
          <w:szCs w:val="23"/>
          <w:color w:val="005BA5"/>
          <w:vertAlign w:val="superscript"/>
        </w:rPr>
      </w:pPr>
    </w:p>
    <w:p>
      <w:pPr>
        <w:ind w:left="280" w:hanging="191"/>
        <w:spacing w:after="0" w:line="196" w:lineRule="auto"/>
        <w:tabs>
          <w:tab w:leader="none" w:pos="280" w:val="left"/>
        </w:tabs>
        <w:numPr>
          <w:ilvl w:val="0"/>
          <w:numId w:val="43"/>
        </w:numPr>
        <w:rPr>
          <w:rFonts w:ascii="Arial" w:cs="Arial" w:eastAsia="Arial" w:hAnsi="Arial"/>
          <w:sz w:val="23"/>
          <w:szCs w:val="23"/>
          <w:color w:val="005BA5"/>
          <w:vertAlign w:val="superscript"/>
        </w:rPr>
      </w:pPr>
      <w:r>
        <w:rPr>
          <w:rFonts w:ascii="Arial" w:cs="Arial" w:eastAsia="Arial" w:hAnsi="Arial"/>
          <w:sz w:val="14"/>
          <w:szCs w:val="14"/>
          <w:color w:val="auto"/>
        </w:rPr>
        <w:t>Allstate brand operates in 50 states, the District of Columbia and 5 Canadian provinces.</w:t>
      </w:r>
    </w:p>
    <w:p>
      <w:pPr>
        <w:spacing w:after="0" w:line="43" w:lineRule="exact"/>
        <w:rPr>
          <w:rFonts w:ascii="Arial" w:cs="Arial" w:eastAsia="Arial" w:hAnsi="Arial"/>
          <w:sz w:val="23"/>
          <w:szCs w:val="23"/>
          <w:color w:val="005BA5"/>
          <w:vertAlign w:val="superscript"/>
        </w:rPr>
      </w:pPr>
    </w:p>
    <w:p>
      <w:pPr>
        <w:ind w:left="280" w:right="360" w:hanging="191"/>
        <w:spacing w:after="0" w:line="188" w:lineRule="auto"/>
        <w:tabs>
          <w:tab w:leader="none" w:pos="280" w:val="left"/>
        </w:tabs>
        <w:numPr>
          <w:ilvl w:val="0"/>
          <w:numId w:val="43"/>
        </w:numPr>
        <w:rPr>
          <w:rFonts w:ascii="Arial" w:cs="Arial" w:eastAsia="Arial" w:hAnsi="Arial"/>
          <w:sz w:val="23"/>
          <w:szCs w:val="23"/>
          <w:color w:val="005BA5"/>
          <w:vertAlign w:val="superscript"/>
        </w:rPr>
      </w:pPr>
      <w:r>
        <w:rPr>
          <w:rFonts w:ascii="Arial" w:cs="Arial" w:eastAsia="Arial" w:hAnsi="Arial"/>
          <w:sz w:val="14"/>
          <w:szCs w:val="14"/>
          <w:color w:val="auto"/>
        </w:rPr>
        <w:t>Represents the impact in the states, the District of Columbia and Canadian provinces where rate changes were approved during the period as a percentage of total brand 2018 and 2017 premiums written, respectively.</w:t>
      </w:r>
    </w:p>
    <w:p>
      <w:pPr>
        <w:spacing w:after="0" w:line="44" w:lineRule="exact"/>
        <w:rPr>
          <w:rFonts w:ascii="Arial" w:cs="Arial" w:eastAsia="Arial" w:hAnsi="Arial"/>
          <w:sz w:val="23"/>
          <w:szCs w:val="23"/>
          <w:color w:val="005BA5"/>
          <w:vertAlign w:val="superscript"/>
        </w:rPr>
      </w:pPr>
    </w:p>
    <w:p>
      <w:pPr>
        <w:ind w:left="280" w:right="60" w:hanging="191"/>
        <w:spacing w:after="0" w:line="188" w:lineRule="auto"/>
        <w:tabs>
          <w:tab w:leader="none" w:pos="280" w:val="left"/>
        </w:tabs>
        <w:numPr>
          <w:ilvl w:val="0"/>
          <w:numId w:val="43"/>
        </w:numPr>
        <w:rPr>
          <w:rFonts w:ascii="Arial" w:cs="Arial" w:eastAsia="Arial" w:hAnsi="Arial"/>
          <w:sz w:val="23"/>
          <w:szCs w:val="23"/>
          <w:color w:val="005BA5"/>
          <w:vertAlign w:val="superscript"/>
        </w:rPr>
      </w:pPr>
      <w:r>
        <w:rPr>
          <w:rFonts w:ascii="Arial" w:cs="Arial" w:eastAsia="Arial" w:hAnsi="Arial"/>
          <w:sz w:val="14"/>
          <w:szCs w:val="14"/>
          <w:color w:val="auto"/>
        </w:rPr>
        <w:t>Represents the impact in the states, the District of Columbia and Canadian provinces where rate changes were approved during the period as a percentage of their respective total 2018 and 2017 premiums written in those same locations.</w:t>
      </w:r>
    </w:p>
    <w:p>
      <w:pPr>
        <w:spacing w:after="0" w:line="44" w:lineRule="exact"/>
        <w:rPr>
          <w:rFonts w:ascii="Arial" w:cs="Arial" w:eastAsia="Arial" w:hAnsi="Arial"/>
          <w:sz w:val="23"/>
          <w:szCs w:val="23"/>
          <w:color w:val="005BA5"/>
          <w:vertAlign w:val="superscript"/>
        </w:rPr>
      </w:pPr>
    </w:p>
    <w:p>
      <w:pPr>
        <w:ind w:left="280" w:right="540" w:hanging="191"/>
        <w:spacing w:after="0" w:line="188" w:lineRule="auto"/>
        <w:tabs>
          <w:tab w:leader="none" w:pos="280" w:val="left"/>
        </w:tabs>
        <w:numPr>
          <w:ilvl w:val="0"/>
          <w:numId w:val="43"/>
        </w:numPr>
        <w:rPr>
          <w:rFonts w:ascii="Arial" w:cs="Arial" w:eastAsia="Arial" w:hAnsi="Arial"/>
          <w:sz w:val="23"/>
          <w:szCs w:val="23"/>
          <w:color w:val="005BA5"/>
          <w:vertAlign w:val="superscript"/>
        </w:rPr>
      </w:pPr>
      <w:r>
        <w:rPr>
          <w:rFonts w:ascii="Arial" w:cs="Arial" w:eastAsia="Arial" w:hAnsi="Arial"/>
          <w:sz w:val="14"/>
          <w:szCs w:val="14"/>
          <w:color w:val="auto"/>
        </w:rPr>
        <w:t>Based on historical premiums written in the locations noted above, the annual impact of rate changes approved for auto totaled $120 million in the three months ended March 31, 2019, compared to $60 million in the three months ended March 31, 2018.</w:t>
      </w:r>
    </w:p>
    <w:p>
      <w:pPr>
        <w:sectPr>
          <w:pgSz w:w="11900" w:h="16838" w:orient="portrait"/>
          <w:cols w:equalWidth="0" w:num="1">
            <w:col w:w="11420"/>
          </w:cols>
          <w:pgMar w:left="240" w:top="141" w:right="239" w:bottom="1440" w:gutter="0" w:footer="0" w:header="0"/>
          <w:type w:val="continuous"/>
        </w:sectPr>
      </w:pPr>
    </w:p>
    <w:p>
      <w:pPr>
        <w:spacing w:after="0" w:line="80" w:lineRule="exact"/>
        <w:rPr>
          <w:sz w:val="20"/>
          <w:szCs w:val="20"/>
          <w:color w:val="auto"/>
        </w:rPr>
      </w:pPr>
    </w:p>
    <w:p>
      <w:pPr>
        <w:ind w:firstLine="324"/>
        <w:spacing w:after="0" w:line="264" w:lineRule="auto"/>
        <w:rPr>
          <w:sz w:val="20"/>
          <w:szCs w:val="20"/>
          <w:color w:val="auto"/>
        </w:rPr>
      </w:pPr>
      <w:r>
        <w:rPr>
          <w:rFonts w:ascii="Arial" w:cs="Arial" w:eastAsia="Arial" w:hAnsi="Arial"/>
          <w:sz w:val="16"/>
          <w:szCs w:val="16"/>
          <w:i w:val="1"/>
          <w:iCs w:val="1"/>
          <w:color w:val="1666AF"/>
        </w:rPr>
        <w:t xml:space="preserve">Auto insurance premiums written </w:t>
      </w:r>
      <w:r>
        <w:rPr>
          <w:rFonts w:ascii="Arial" w:cs="Arial" w:eastAsia="Arial" w:hAnsi="Arial"/>
          <w:sz w:val="16"/>
          <w:szCs w:val="16"/>
          <w:color w:val="000000"/>
        </w:rPr>
        <w:t>totaled $5.40 billion in the first quarter</w:t>
      </w:r>
      <w:r>
        <w:rPr>
          <w:rFonts w:ascii="Arial" w:cs="Arial" w:eastAsia="Arial" w:hAnsi="Arial"/>
          <w:sz w:val="16"/>
          <w:szCs w:val="16"/>
          <w:i w:val="1"/>
          <w:iCs w:val="1"/>
          <w:color w:val="1666AF"/>
        </w:rPr>
        <w:t xml:space="preserve"> </w:t>
      </w:r>
      <w:r>
        <w:rPr>
          <w:rFonts w:ascii="Arial" w:cs="Arial" w:eastAsia="Arial" w:hAnsi="Arial"/>
          <w:sz w:val="16"/>
          <w:szCs w:val="16"/>
          <w:color w:val="000000"/>
        </w:rPr>
        <w:t>of 2019, a 4.7% increase from $5.15 billion in the first quarter of 2018. Factors impacting premiums written were:</w:t>
      </w:r>
    </w:p>
    <w:p>
      <w:pPr>
        <w:spacing w:after="0" w:line="72" w:lineRule="exact"/>
        <w:rPr>
          <w:sz w:val="20"/>
          <w:szCs w:val="20"/>
          <w:color w:val="auto"/>
        </w:rPr>
      </w:pPr>
    </w:p>
    <w:p>
      <w:pPr>
        <w:ind w:left="340" w:right="120" w:hanging="251"/>
        <w:spacing w:after="0" w:line="286" w:lineRule="auto"/>
        <w:tabs>
          <w:tab w:leader="none" w:pos="340" w:val="left"/>
        </w:tabs>
        <w:numPr>
          <w:ilvl w:val="0"/>
          <w:numId w:val="44"/>
        </w:numPr>
        <w:rPr>
          <w:rFonts w:ascii="Arial" w:cs="Arial" w:eastAsia="Arial" w:hAnsi="Arial"/>
          <w:sz w:val="15"/>
          <w:szCs w:val="15"/>
          <w:color w:val="005BA5"/>
        </w:rPr>
      </w:pPr>
      <w:r>
        <w:rPr>
          <w:rFonts w:ascii="Arial" w:cs="Arial" w:eastAsia="Arial" w:hAnsi="Arial"/>
          <w:sz w:val="15"/>
          <w:szCs w:val="15"/>
          <w:color w:val="auto"/>
        </w:rPr>
        <w:t>2.7% or 528 thousand increase in PIF as of March 31, 2019 compared to March 31, 2018. Auto PIF increased in 40 states, including 8 of our largest 10 states, as of March 31, 2019 compared to March 31, 2018.</w:t>
      </w:r>
    </w:p>
    <w:p>
      <w:pPr>
        <w:spacing w:after="0" w:line="58" w:lineRule="exact"/>
        <w:rPr>
          <w:rFonts w:ascii="Arial" w:cs="Arial" w:eastAsia="Arial" w:hAnsi="Arial"/>
          <w:sz w:val="15"/>
          <w:szCs w:val="15"/>
          <w:color w:val="005BA5"/>
        </w:rPr>
      </w:pPr>
    </w:p>
    <w:p>
      <w:pPr>
        <w:ind w:left="340" w:right="160" w:hanging="251"/>
        <w:spacing w:after="0" w:line="261" w:lineRule="auto"/>
        <w:tabs>
          <w:tab w:leader="none" w:pos="340" w:val="left"/>
        </w:tabs>
        <w:numPr>
          <w:ilvl w:val="0"/>
          <w:numId w:val="44"/>
        </w:numPr>
        <w:rPr>
          <w:rFonts w:ascii="Arial" w:cs="Arial" w:eastAsia="Arial" w:hAnsi="Arial"/>
          <w:sz w:val="16"/>
          <w:szCs w:val="16"/>
          <w:color w:val="005BA5"/>
        </w:rPr>
      </w:pPr>
      <w:r>
        <w:rPr>
          <w:rFonts w:ascii="Arial" w:cs="Arial" w:eastAsia="Arial" w:hAnsi="Arial"/>
          <w:sz w:val="16"/>
          <w:szCs w:val="16"/>
          <w:color w:val="auto"/>
        </w:rPr>
        <w:t>0.5 point increase in the renewal ratio in the first quarter of 2019, compared to the same period of 2018. 39 states, including 5 of our 10 largest states, experienced increases in the renewal ratio</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237"/>
        <w:spacing w:after="0"/>
        <w:rPr>
          <w:sz w:val="20"/>
          <w:szCs w:val="20"/>
          <w:color w:val="auto"/>
        </w:rPr>
      </w:pPr>
      <w:r>
        <w:rPr>
          <w:rFonts w:ascii="Arial" w:cs="Arial" w:eastAsia="Arial" w:hAnsi="Arial"/>
          <w:sz w:val="16"/>
          <w:szCs w:val="16"/>
          <w:color w:val="auto"/>
        </w:rPr>
        <w:t>in the first quarter of 2019, compared to the same period of 2018.</w:t>
      </w:r>
    </w:p>
    <w:p>
      <w:pPr>
        <w:spacing w:after="0" w:line="154" w:lineRule="exact"/>
        <w:rPr>
          <w:sz w:val="20"/>
          <w:szCs w:val="20"/>
          <w:color w:val="auto"/>
        </w:rPr>
      </w:pPr>
    </w:p>
    <w:p>
      <w:pPr>
        <w:ind w:left="237" w:right="100" w:hanging="237"/>
        <w:spacing w:after="0" w:line="253" w:lineRule="auto"/>
        <w:tabs>
          <w:tab w:leader="none" w:pos="237" w:val="left"/>
        </w:tabs>
        <w:numPr>
          <w:ilvl w:val="0"/>
          <w:numId w:val="45"/>
        </w:numPr>
        <w:rPr>
          <w:rFonts w:ascii="Arial" w:cs="Arial" w:eastAsia="Arial" w:hAnsi="Arial"/>
          <w:sz w:val="16"/>
          <w:szCs w:val="16"/>
          <w:color w:val="005BA5"/>
        </w:rPr>
      </w:pPr>
      <w:r>
        <w:rPr>
          <w:rFonts w:ascii="Arial" w:cs="Arial" w:eastAsia="Arial" w:hAnsi="Arial"/>
          <w:sz w:val="16"/>
          <w:szCs w:val="16"/>
          <w:color w:val="auto"/>
        </w:rPr>
        <w:t>3.6% increase in new issued applications in the first quarter of 2019, compared to the same period of 2018. 32 states, including 5 of our 10 largest states, experienced increases in new issued applications in the first quarter of 2019 compared to the first quarter of 2018, with 17 states experiencing double digit increases.</w:t>
      </w:r>
    </w:p>
    <w:p>
      <w:pPr>
        <w:spacing w:after="0" w:line="83" w:lineRule="exact"/>
        <w:rPr>
          <w:rFonts w:ascii="Arial" w:cs="Arial" w:eastAsia="Arial" w:hAnsi="Arial"/>
          <w:sz w:val="16"/>
          <w:szCs w:val="16"/>
          <w:color w:val="005BA5"/>
        </w:rPr>
      </w:pPr>
    </w:p>
    <w:p>
      <w:pPr>
        <w:jc w:val="both"/>
        <w:ind w:left="237" w:right="60" w:hanging="237"/>
        <w:spacing w:after="0" w:line="261" w:lineRule="auto"/>
        <w:tabs>
          <w:tab w:leader="none" w:pos="237" w:val="left"/>
        </w:tabs>
        <w:numPr>
          <w:ilvl w:val="0"/>
          <w:numId w:val="45"/>
        </w:numPr>
        <w:rPr>
          <w:rFonts w:ascii="Arial" w:cs="Arial" w:eastAsia="Arial" w:hAnsi="Arial"/>
          <w:sz w:val="16"/>
          <w:szCs w:val="16"/>
          <w:color w:val="005BA5"/>
        </w:rPr>
      </w:pPr>
      <w:r>
        <w:rPr>
          <w:rFonts w:ascii="Arial" w:cs="Arial" w:eastAsia="Arial" w:hAnsi="Arial"/>
          <w:sz w:val="16"/>
          <w:szCs w:val="16"/>
          <w:color w:val="auto"/>
        </w:rPr>
        <w:t>2.5% increase in average premium in the first quarter of 2019 compared to the same period of 2018, primarily due to rate increases approved in 2018.</w:t>
      </w:r>
    </w:p>
    <w:p>
      <w:pPr>
        <w:spacing w:after="0" w:line="200" w:lineRule="exact"/>
        <w:rPr>
          <w:sz w:val="20"/>
          <w:szCs w:val="20"/>
          <w:color w:val="auto"/>
        </w:rPr>
      </w:pPr>
    </w:p>
    <w:p>
      <w:pPr>
        <w:sectPr>
          <w:pgSz w:w="11900" w:h="16838" w:orient="portrait"/>
          <w:cols w:equalWidth="0" w:num="2">
            <w:col w:w="5440" w:space="583"/>
            <w:col w:w="5397"/>
          </w:cols>
          <w:pgMar w:left="240" w:top="141" w:right="239" w:bottom="1440" w:gutter="0" w:footer="0" w:header="0"/>
          <w:type w:val="continuous"/>
        </w:sectPr>
      </w:pPr>
    </w:p>
    <w:p>
      <w:pPr>
        <w:spacing w:after="0" w:line="62"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61</w:t>
      </w:r>
    </w:p>
    <w:p>
      <w:pPr>
        <w:sectPr>
          <w:pgSz w:w="11900" w:h="16838" w:orient="portrait"/>
          <w:cols w:equalWidth="0" w:num="1">
            <w:col w:w="11420"/>
          </w:cols>
          <w:pgMar w:left="240" w:top="141"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6"/>
          <w:szCs w:val="16"/>
          <w:color w:val="1666AF"/>
        </w:rPr>
        <w:t xml:space="preserve">Segment Results </w:t>
      </w:r>
      <w:r>
        <w:rPr>
          <w:rFonts w:ascii="Arial" w:cs="Arial" w:eastAsia="Arial" w:hAnsi="Arial"/>
          <w:sz w:val="16"/>
          <w:szCs w:val="16"/>
          <w:color w:val="000000"/>
        </w:rPr>
        <w:t>Allstate Protection: Allstate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Homeowners premium measures and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109"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PIF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issued applications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36829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Renewal ratio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Approved rate changes </w:t>
      </w:r>
      <w:r>
        <w:rPr>
          <w:rFonts w:ascii="Arial" w:cs="Arial" w:eastAsia="Arial" w:hAnsi="Arial"/>
          <w:sz w:val="27"/>
          <w:szCs w:val="27"/>
          <w:color w:val="005BA5"/>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682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6,198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6,093</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1,212</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87.5</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18008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7860" w:space="720"/>
            <w:col w:w="2840"/>
          </w:cols>
          <w:pgMar w:left="240" w:top="141" w:right="239" w:bottom="1440" w:gutter="0" w:footer="0" w:header="0"/>
          <w:type w:val="continuous"/>
        </w:sectPr>
      </w:pPr>
    </w:p>
    <w:p>
      <w:pPr>
        <w:ind w:left="180"/>
        <w:spacing w:after="0" w:line="227" w:lineRule="auto"/>
        <w:rPr>
          <w:sz w:val="20"/>
          <w:szCs w:val="20"/>
          <w:color w:val="auto"/>
        </w:rPr>
      </w:pPr>
      <w:r>
        <w:rPr>
          <w:rFonts w:ascii="Arial" w:cs="Arial" w:eastAsia="Arial" w:hAnsi="Arial"/>
          <w:sz w:val="15"/>
          <w:szCs w:val="15"/>
          <w:color w:val="auto"/>
        </w:rPr>
        <w:t xml:space="preserve">Number of locations </w:t>
      </w:r>
      <w:r>
        <w:rPr>
          <w:rFonts w:ascii="Arial" w:cs="Arial" w:eastAsia="Arial" w:hAnsi="Arial"/>
          <w:sz w:val="25"/>
          <w:szCs w:val="25"/>
          <w:color w:val="005BA5"/>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536829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Total brand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682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Location specific (%) </w:t>
      </w:r>
      <w:r>
        <w:rPr>
          <w:rFonts w:ascii="Arial" w:cs="Arial" w:eastAsia="Arial" w:hAnsi="Arial"/>
          <w:sz w:val="23"/>
          <w:szCs w:val="23"/>
          <w:color w:val="005BA5"/>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6829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5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27940</wp:posOffset>
            </wp:positionV>
            <wp:extent cx="87503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49530</wp:posOffset>
            </wp:positionV>
            <wp:extent cx="8750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49530</wp:posOffset>
            </wp:positionV>
            <wp:extent cx="87503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27940</wp:posOffset>
            </wp:positionV>
            <wp:extent cx="8578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42545</wp:posOffset>
            </wp:positionV>
            <wp:extent cx="85788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42545</wp:posOffset>
            </wp:positionV>
            <wp:extent cx="85788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3">
            <w:col w:w="8940" w:space="720"/>
            <w:col w:w="720" w:space="720"/>
            <w:col w:w="320"/>
          </w:cols>
          <w:pgMar w:left="240" w:top="141" w:right="239" w:bottom="1440" w:gutter="0" w:footer="0" w:header="0"/>
          <w:type w:val="continuous"/>
        </w:sectPr>
      </w:pPr>
    </w:p>
    <w:p>
      <w:pPr>
        <w:ind w:left="280" w:hanging="191"/>
        <w:spacing w:after="0"/>
        <w:tabs>
          <w:tab w:leader="none" w:pos="280" w:val="left"/>
        </w:tabs>
        <w:numPr>
          <w:ilvl w:val="0"/>
          <w:numId w:val="46"/>
        </w:numPr>
        <w:rPr>
          <w:rFonts w:ascii="Arial" w:cs="Arial" w:eastAsia="Arial" w:hAnsi="Arial"/>
          <w:sz w:val="23"/>
          <w:szCs w:val="23"/>
          <w:color w:val="005BA5"/>
          <w:vertAlign w:val="superscript"/>
        </w:rPr>
      </w:pPr>
      <w:r>
        <w:rPr>
          <w:rFonts w:ascii="Arial" w:cs="Arial" w:eastAsia="Arial" w:hAnsi="Arial"/>
          <w:sz w:val="14"/>
          <w:szCs w:val="14"/>
          <w:color w:val="auto"/>
        </w:rPr>
        <w:t>Includes rate changes approved based on our net cost of reinsurance.</w:t>
      </w:r>
    </w:p>
    <w:p>
      <w:pPr>
        <w:spacing w:after="0" w:line="43" w:lineRule="exact"/>
        <w:rPr>
          <w:rFonts w:ascii="Arial" w:cs="Arial" w:eastAsia="Arial" w:hAnsi="Arial"/>
          <w:sz w:val="23"/>
          <w:szCs w:val="23"/>
          <w:color w:val="005BA5"/>
          <w:vertAlign w:val="superscript"/>
        </w:rPr>
      </w:pPr>
    </w:p>
    <w:p>
      <w:pPr>
        <w:ind w:left="280" w:hanging="191"/>
        <w:spacing w:after="0" w:line="199" w:lineRule="auto"/>
        <w:tabs>
          <w:tab w:leader="none" w:pos="280" w:val="left"/>
        </w:tabs>
        <w:numPr>
          <w:ilvl w:val="0"/>
          <w:numId w:val="46"/>
        </w:numPr>
        <w:rPr>
          <w:rFonts w:ascii="Arial" w:cs="Arial" w:eastAsia="Arial" w:hAnsi="Arial"/>
          <w:sz w:val="18"/>
          <w:szCs w:val="18"/>
          <w:color w:val="005BA5"/>
          <w:vertAlign w:val="superscript"/>
        </w:rPr>
      </w:pPr>
      <w:r>
        <w:rPr>
          <w:rFonts w:ascii="Arial" w:cs="Arial" w:eastAsia="Arial" w:hAnsi="Arial"/>
          <w:sz w:val="12"/>
          <w:szCs w:val="12"/>
          <w:color w:val="auto"/>
        </w:rPr>
        <w:t>Allstate brand operates in 50 states, the District of Columbia and 5 Canadian provinces.</w:t>
      </w:r>
    </w:p>
    <w:p>
      <w:pPr>
        <w:spacing w:after="0" w:line="44" w:lineRule="exact"/>
        <w:rPr>
          <w:rFonts w:ascii="Arial" w:cs="Arial" w:eastAsia="Arial" w:hAnsi="Arial"/>
          <w:sz w:val="18"/>
          <w:szCs w:val="18"/>
          <w:color w:val="005BA5"/>
          <w:vertAlign w:val="superscript"/>
        </w:rPr>
      </w:pPr>
    </w:p>
    <w:p>
      <w:pPr>
        <w:ind w:left="280" w:hanging="191"/>
        <w:spacing w:after="0" w:line="188" w:lineRule="auto"/>
        <w:tabs>
          <w:tab w:leader="none" w:pos="280" w:val="left"/>
        </w:tabs>
        <w:numPr>
          <w:ilvl w:val="0"/>
          <w:numId w:val="46"/>
        </w:numPr>
        <w:rPr>
          <w:rFonts w:ascii="Arial" w:cs="Arial" w:eastAsia="Arial" w:hAnsi="Arial"/>
          <w:sz w:val="23"/>
          <w:szCs w:val="23"/>
          <w:color w:val="005BA5"/>
          <w:vertAlign w:val="superscript"/>
        </w:rPr>
      </w:pPr>
      <w:r>
        <w:rPr>
          <w:rFonts w:ascii="Arial" w:cs="Arial" w:eastAsia="Arial" w:hAnsi="Arial"/>
          <w:sz w:val="14"/>
          <w:szCs w:val="14"/>
          <w:color w:val="auto"/>
        </w:rPr>
        <w:t>Based on historical premiums written in the locations noted above, the annual impact of rate changes approved for homeowners totaled $155 million in the three months ended March 31, 2019, compared to $79 million in the three months ended March 31, 2018.</w:t>
      </w:r>
    </w:p>
    <w:p>
      <w:pPr>
        <w:sectPr>
          <w:pgSz w:w="11900" w:h="16838" w:orient="portrait"/>
          <w:cols w:equalWidth="0" w:num="1">
            <w:col w:w="11420"/>
          </w:cols>
          <w:pgMar w:left="240" w:top="141" w:right="239" w:bottom="1440" w:gutter="0" w:footer="0" w:header="0"/>
          <w:type w:val="continuous"/>
        </w:sectPr>
      </w:pPr>
    </w:p>
    <w:p>
      <w:pPr>
        <w:spacing w:after="0" w:line="80" w:lineRule="exact"/>
        <w:rPr>
          <w:sz w:val="20"/>
          <w:szCs w:val="20"/>
          <w:color w:val="auto"/>
        </w:rPr>
      </w:pPr>
    </w:p>
    <w:p>
      <w:pPr>
        <w:ind w:right="40" w:firstLine="324"/>
        <w:spacing w:after="0" w:line="264" w:lineRule="auto"/>
        <w:rPr>
          <w:sz w:val="20"/>
          <w:szCs w:val="20"/>
          <w:color w:val="auto"/>
        </w:rPr>
      </w:pPr>
      <w:r>
        <w:rPr>
          <w:rFonts w:ascii="Arial" w:cs="Arial" w:eastAsia="Arial" w:hAnsi="Arial"/>
          <w:sz w:val="16"/>
          <w:szCs w:val="16"/>
          <w:i w:val="1"/>
          <w:iCs w:val="1"/>
          <w:color w:val="1666AF"/>
        </w:rPr>
        <w:t xml:space="preserve">Homeowners insurance premiums written </w:t>
      </w:r>
      <w:r>
        <w:rPr>
          <w:rFonts w:ascii="Arial" w:cs="Arial" w:eastAsia="Arial" w:hAnsi="Arial"/>
          <w:sz w:val="16"/>
          <w:szCs w:val="16"/>
          <w:color w:val="000000"/>
        </w:rPr>
        <w:t>totaled $1.57 billion in the</w:t>
      </w:r>
      <w:r>
        <w:rPr>
          <w:rFonts w:ascii="Arial" w:cs="Arial" w:eastAsia="Arial" w:hAnsi="Arial"/>
          <w:sz w:val="16"/>
          <w:szCs w:val="16"/>
          <w:i w:val="1"/>
          <w:iCs w:val="1"/>
          <w:color w:val="1666AF"/>
        </w:rPr>
        <w:t xml:space="preserve"> </w:t>
      </w:r>
      <w:r>
        <w:rPr>
          <w:rFonts w:ascii="Arial" w:cs="Arial" w:eastAsia="Arial" w:hAnsi="Arial"/>
          <w:sz w:val="16"/>
          <w:szCs w:val="16"/>
          <w:color w:val="000000"/>
        </w:rPr>
        <w:t>first quarter of 2019, a 6.8% increase from $1.47 billion in the first quarter of 2018. Factors impacting premiums written were:</w:t>
      </w:r>
    </w:p>
    <w:p>
      <w:pPr>
        <w:spacing w:after="0" w:line="72" w:lineRule="exact"/>
        <w:rPr>
          <w:sz w:val="20"/>
          <w:szCs w:val="20"/>
          <w:color w:val="auto"/>
        </w:rPr>
      </w:pPr>
    </w:p>
    <w:p>
      <w:pPr>
        <w:jc w:val="both"/>
        <w:ind w:left="340" w:right="100" w:hanging="251"/>
        <w:spacing w:after="0" w:line="286" w:lineRule="auto"/>
        <w:tabs>
          <w:tab w:leader="none" w:pos="340" w:val="left"/>
        </w:tabs>
        <w:numPr>
          <w:ilvl w:val="0"/>
          <w:numId w:val="47"/>
        </w:numPr>
        <w:rPr>
          <w:rFonts w:ascii="Arial" w:cs="Arial" w:eastAsia="Arial" w:hAnsi="Arial"/>
          <w:sz w:val="15"/>
          <w:szCs w:val="15"/>
          <w:color w:val="005BA5"/>
        </w:rPr>
      </w:pPr>
      <w:r>
        <w:rPr>
          <w:rFonts w:ascii="Arial" w:cs="Arial" w:eastAsia="Arial" w:hAnsi="Arial"/>
          <w:sz w:val="15"/>
          <w:szCs w:val="15"/>
          <w:color w:val="auto"/>
        </w:rPr>
        <w:t>1.7% or 105 thousand increase in PIF as of March 31, 2019 compared to March 31, 2018. Homeowners PIF increased in 33 states, including 5 of our largest 10 states, as of March 31, 2019 compared to March 31, 2018.</w:t>
      </w:r>
    </w:p>
    <w:p>
      <w:pPr>
        <w:spacing w:after="0" w:line="58" w:lineRule="exact"/>
        <w:rPr>
          <w:rFonts w:ascii="Arial" w:cs="Arial" w:eastAsia="Arial" w:hAnsi="Arial"/>
          <w:sz w:val="15"/>
          <w:szCs w:val="15"/>
          <w:color w:val="005BA5"/>
        </w:rPr>
      </w:pPr>
    </w:p>
    <w:p>
      <w:pPr>
        <w:ind w:left="340" w:right="120" w:hanging="251"/>
        <w:spacing w:after="0" w:line="256" w:lineRule="auto"/>
        <w:tabs>
          <w:tab w:leader="none" w:pos="340" w:val="left"/>
        </w:tabs>
        <w:numPr>
          <w:ilvl w:val="0"/>
          <w:numId w:val="47"/>
        </w:numPr>
        <w:rPr>
          <w:rFonts w:ascii="Arial" w:cs="Arial" w:eastAsia="Arial" w:hAnsi="Arial"/>
          <w:sz w:val="16"/>
          <w:szCs w:val="16"/>
          <w:color w:val="005BA5"/>
        </w:rPr>
      </w:pPr>
      <w:r>
        <w:rPr>
          <w:rFonts w:ascii="Arial" w:cs="Arial" w:eastAsia="Arial" w:hAnsi="Arial"/>
          <w:sz w:val="16"/>
          <w:szCs w:val="16"/>
          <w:color w:val="auto"/>
        </w:rPr>
        <w:t>0.9 point increase in the renewal ratio in the first quarter of 2019 compared to the same period of 2018. All of our largest 10 states experienced an increase in the renewal ratio in the first quarter of 2019 compared to the same period of 2018.</w:t>
      </w:r>
    </w:p>
    <w:p>
      <w:pPr>
        <w:spacing w:after="0" w:line="79" w:lineRule="exact"/>
        <w:rPr>
          <w:rFonts w:ascii="Arial" w:cs="Arial" w:eastAsia="Arial" w:hAnsi="Arial"/>
          <w:sz w:val="16"/>
          <w:szCs w:val="16"/>
          <w:color w:val="005BA5"/>
        </w:rPr>
      </w:pPr>
    </w:p>
    <w:p>
      <w:pPr>
        <w:ind w:left="340" w:right="20" w:hanging="251"/>
        <w:spacing w:after="0" w:line="256" w:lineRule="auto"/>
        <w:tabs>
          <w:tab w:leader="none" w:pos="340" w:val="left"/>
        </w:tabs>
        <w:numPr>
          <w:ilvl w:val="0"/>
          <w:numId w:val="47"/>
        </w:numPr>
        <w:rPr>
          <w:rFonts w:ascii="Arial" w:cs="Arial" w:eastAsia="Arial" w:hAnsi="Arial"/>
          <w:sz w:val="16"/>
          <w:szCs w:val="16"/>
          <w:color w:val="005BA5"/>
        </w:rPr>
      </w:pPr>
      <w:r>
        <w:rPr>
          <w:rFonts w:ascii="Arial" w:cs="Arial" w:eastAsia="Arial" w:hAnsi="Arial"/>
          <w:sz w:val="16"/>
          <w:szCs w:val="16"/>
          <w:color w:val="auto"/>
        </w:rPr>
        <w:t>5.3% increase in new issued applications in the first quarter of 2019, compared to the same period of 2018. 5 of our largest 10 states experienced increases in the first quarter of 2019 compared to the same period of 2018.</w:t>
      </w:r>
    </w:p>
    <w:p>
      <w:pPr>
        <w:spacing w:after="0" w:line="79" w:lineRule="exact"/>
        <w:rPr>
          <w:rFonts w:ascii="Arial" w:cs="Arial" w:eastAsia="Arial" w:hAnsi="Arial"/>
          <w:sz w:val="16"/>
          <w:szCs w:val="16"/>
          <w:color w:val="005BA5"/>
        </w:rPr>
      </w:pPr>
    </w:p>
    <w:p>
      <w:pPr>
        <w:ind w:left="340" w:hanging="251"/>
        <w:spacing w:after="0" w:line="275" w:lineRule="auto"/>
        <w:tabs>
          <w:tab w:leader="none" w:pos="340" w:val="left"/>
        </w:tabs>
        <w:numPr>
          <w:ilvl w:val="0"/>
          <w:numId w:val="47"/>
        </w:numPr>
        <w:rPr>
          <w:rFonts w:ascii="Arial" w:cs="Arial" w:eastAsia="Arial" w:hAnsi="Arial"/>
          <w:sz w:val="16"/>
          <w:szCs w:val="16"/>
          <w:color w:val="005BA5"/>
        </w:rPr>
      </w:pPr>
      <w:r>
        <w:rPr>
          <w:rFonts w:ascii="Arial" w:cs="Arial" w:eastAsia="Arial" w:hAnsi="Arial"/>
          <w:sz w:val="16"/>
          <w:szCs w:val="16"/>
          <w:color w:val="auto"/>
        </w:rPr>
        <w:t>4.5% increase in average premium in the first quarter of 2019, compared to the same period of</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320" w:right="520"/>
        <w:spacing w:after="0" w:line="363" w:lineRule="auto"/>
        <w:rPr>
          <w:sz w:val="20"/>
          <w:szCs w:val="20"/>
          <w:color w:val="auto"/>
        </w:rPr>
      </w:pPr>
      <w:r>
        <w:rPr>
          <w:rFonts w:ascii="Arial" w:cs="Arial" w:eastAsia="Arial" w:hAnsi="Arial"/>
          <w:sz w:val="16"/>
          <w:szCs w:val="16"/>
          <w:color w:val="auto"/>
        </w:rPr>
        <w:t>2018, primarily due to rate increases and inflationary increases in insured home valuations.</w:t>
      </w:r>
    </w:p>
    <w:p>
      <w:pPr>
        <w:spacing w:after="0" w:line="49" w:lineRule="exact"/>
        <w:rPr>
          <w:sz w:val="20"/>
          <w:szCs w:val="20"/>
          <w:color w:val="auto"/>
        </w:rPr>
      </w:pPr>
    </w:p>
    <w:p>
      <w:pPr>
        <w:ind w:left="320" w:right="80" w:hanging="237"/>
        <w:spacing w:after="0" w:line="251" w:lineRule="auto"/>
        <w:tabs>
          <w:tab w:leader="none" w:pos="320" w:val="left"/>
        </w:tabs>
        <w:numPr>
          <w:ilvl w:val="0"/>
          <w:numId w:val="48"/>
        </w:numPr>
        <w:rPr>
          <w:rFonts w:ascii="Arial" w:cs="Arial" w:eastAsia="Arial" w:hAnsi="Arial"/>
          <w:sz w:val="16"/>
          <w:szCs w:val="16"/>
          <w:color w:val="005BA5"/>
        </w:rPr>
      </w:pPr>
      <w:r>
        <w:rPr>
          <w:rFonts w:ascii="Arial" w:cs="Arial" w:eastAsia="Arial" w:hAnsi="Arial"/>
          <w:sz w:val="16"/>
          <w:szCs w:val="16"/>
          <w:color w:val="auto"/>
        </w:rPr>
        <w:t>$2 million decrease in the cost of our catastrophe reinsurance program to $63 million in the first quarter of 2019 from $65 million in the first quarter of 2018. Catastrophe placement premiums are recorded primarily in the Allstate brand and are a reduction of premium.</w:t>
      </w:r>
    </w:p>
    <w:p>
      <w:pPr>
        <w:spacing w:after="0" w:line="79" w:lineRule="exact"/>
        <w:rPr>
          <w:sz w:val="20"/>
          <w:szCs w:val="20"/>
          <w:color w:val="auto"/>
        </w:rPr>
      </w:pPr>
    </w:p>
    <w:p>
      <w:pPr>
        <w:ind w:right="240" w:firstLine="324"/>
        <w:spacing w:after="0" w:line="258" w:lineRule="auto"/>
        <w:rPr>
          <w:sz w:val="20"/>
          <w:szCs w:val="20"/>
          <w:color w:val="auto"/>
        </w:rPr>
      </w:pPr>
      <w:r>
        <w:rPr>
          <w:rFonts w:ascii="Arial" w:cs="Arial" w:eastAsia="Arial" w:hAnsi="Arial"/>
          <w:sz w:val="16"/>
          <w:szCs w:val="16"/>
          <w:i w:val="1"/>
          <w:iCs w:val="1"/>
          <w:color w:val="1666AF"/>
        </w:rPr>
        <w:t xml:space="preserve">Other personal lines </w:t>
      </w:r>
      <w:r>
        <w:rPr>
          <w:rFonts w:ascii="Arial" w:cs="Arial" w:eastAsia="Arial" w:hAnsi="Arial"/>
          <w:sz w:val="16"/>
          <w:szCs w:val="16"/>
          <w:color w:val="000000"/>
        </w:rPr>
        <w:t>premiums written totaled $399 million in the first</w:t>
      </w:r>
      <w:r>
        <w:rPr>
          <w:rFonts w:ascii="Arial" w:cs="Arial" w:eastAsia="Arial" w:hAnsi="Arial"/>
          <w:sz w:val="16"/>
          <w:szCs w:val="16"/>
          <w:i w:val="1"/>
          <w:iCs w:val="1"/>
          <w:color w:val="1666AF"/>
        </w:rPr>
        <w:t xml:space="preserve"> </w:t>
      </w:r>
      <w:r>
        <w:rPr>
          <w:rFonts w:ascii="Arial" w:cs="Arial" w:eastAsia="Arial" w:hAnsi="Arial"/>
          <w:sz w:val="16"/>
          <w:szCs w:val="16"/>
          <w:color w:val="000000"/>
        </w:rPr>
        <w:t>quarter of 2019, a 6.4% increase from $375 million in the first quarter of 2018, primarily due to increases in personal umbrella and condominium insurance premiums.</w:t>
      </w:r>
    </w:p>
    <w:p>
      <w:pPr>
        <w:spacing w:after="0" w:line="73" w:lineRule="exact"/>
        <w:rPr>
          <w:sz w:val="20"/>
          <w:szCs w:val="20"/>
          <w:color w:val="auto"/>
        </w:rPr>
      </w:pPr>
    </w:p>
    <w:p>
      <w:pPr>
        <w:ind w:right="160" w:firstLine="324"/>
        <w:spacing w:after="0" w:line="255" w:lineRule="auto"/>
        <w:rPr>
          <w:sz w:val="20"/>
          <w:szCs w:val="20"/>
          <w:color w:val="auto"/>
        </w:rPr>
      </w:pPr>
      <w:r>
        <w:rPr>
          <w:rFonts w:ascii="Arial" w:cs="Arial" w:eastAsia="Arial" w:hAnsi="Arial"/>
          <w:sz w:val="16"/>
          <w:szCs w:val="16"/>
          <w:i w:val="1"/>
          <w:iCs w:val="1"/>
          <w:color w:val="1666AF"/>
        </w:rPr>
        <w:t xml:space="preserve">Commercial lines </w:t>
      </w:r>
      <w:r>
        <w:rPr>
          <w:rFonts w:ascii="Arial" w:cs="Arial" w:eastAsia="Arial" w:hAnsi="Arial"/>
          <w:sz w:val="16"/>
          <w:szCs w:val="16"/>
          <w:color w:val="000000"/>
        </w:rPr>
        <w:t>premiums written totaled $185 million in the first</w:t>
      </w:r>
      <w:r>
        <w:rPr>
          <w:rFonts w:ascii="Arial" w:cs="Arial" w:eastAsia="Arial" w:hAnsi="Arial"/>
          <w:sz w:val="16"/>
          <w:szCs w:val="16"/>
          <w:i w:val="1"/>
          <w:iCs w:val="1"/>
          <w:color w:val="1666AF"/>
        </w:rPr>
        <w:t xml:space="preserve"> </w:t>
      </w:r>
      <w:r>
        <w:rPr>
          <w:rFonts w:ascii="Arial" w:cs="Arial" w:eastAsia="Arial" w:hAnsi="Arial"/>
          <w:sz w:val="16"/>
          <w:szCs w:val="16"/>
          <w:color w:val="000000"/>
        </w:rPr>
        <w:t>quarter of 2019, a 35.0% increase from $137 million in the first quarter of 2018, due to the agreement with a transportation network company to provide commercial auto insurance coverage. Effective March 1, 2019, we expanded this coverage to 15 states from 4 states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245745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7"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Combined ratios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gridSpan w:val="3"/>
          </w:tcPr>
          <w:p>
            <w:pPr>
              <w:ind w:left="140"/>
              <w:spacing w:after="0"/>
              <w:rPr>
                <w:sz w:val="20"/>
                <w:szCs w:val="20"/>
                <w:color w:val="auto"/>
              </w:rPr>
            </w:pPr>
            <w:r>
              <w:rPr>
                <w:rFonts w:ascii="Arial" w:cs="Arial" w:eastAsia="Arial" w:hAnsi="Arial"/>
                <w:sz w:val="16"/>
                <w:szCs w:val="16"/>
                <w:b w:val="1"/>
                <w:bCs w:val="1"/>
                <w:color w:val="auto"/>
                <w:w w:val="96"/>
              </w:rPr>
              <w:t>Loss ratio</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 xml:space="preserve">Expense ratio </w:t>
            </w:r>
            <w:r>
              <w:rPr>
                <w:rFonts w:ascii="Arial" w:cs="Arial" w:eastAsia="Arial" w:hAnsi="Arial"/>
                <w:sz w:val="27"/>
                <w:szCs w:val="27"/>
                <w:color w:val="005BA5"/>
                <w:vertAlign w:val="superscript"/>
              </w:rPr>
              <w:t>(1)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Combined ratio</w:t>
            </w:r>
          </w:p>
        </w:tc>
      </w:tr>
      <w:tr>
        <w:trPr>
          <w:trHeight w:val="210"/>
        </w:trPr>
        <w:tc>
          <w:tcPr>
            <w:tcW w:w="4760" w:type="dxa"/>
            <w:vAlign w:val="bottom"/>
            <w:gridSpan w:val="3"/>
          </w:tcPr>
          <w:p>
            <w:pPr>
              <w:ind w:left="4440"/>
              <w:spacing w:after="0"/>
              <w:rPr>
                <w:sz w:val="20"/>
                <w:szCs w:val="20"/>
                <w:color w:val="auto"/>
              </w:rPr>
            </w:pPr>
            <w:r>
              <w:rPr>
                <w:rFonts w:ascii="Arial" w:cs="Arial" w:eastAsia="Arial" w:hAnsi="Arial"/>
                <w:sz w:val="16"/>
                <w:szCs w:val="16"/>
                <w:b w:val="1"/>
                <w:bCs w:val="1"/>
                <w:color w:val="auto"/>
                <w:w w:val="84"/>
              </w:rPr>
              <w:t>2019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2018</w:t>
            </w: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33"/>
        </w:trPr>
        <w:tc>
          <w:tcPr>
            <w:tcW w:w="3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005BA5"/>
            </w:tcBorders>
          </w:tcPr>
          <w:p>
            <w:pPr>
              <w:spacing w:after="0"/>
              <w:rPr>
                <w:sz w:val="2"/>
                <w:szCs w:val="2"/>
                <w:color w:val="auto"/>
              </w:rPr>
            </w:pPr>
          </w:p>
        </w:tc>
        <w:tc>
          <w:tcPr>
            <w:tcW w:w="8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005BA5"/>
            </w:tcBorders>
          </w:tcPr>
          <w:p>
            <w:pPr>
              <w:spacing w:after="0"/>
              <w:rPr>
                <w:sz w:val="2"/>
                <w:szCs w:val="2"/>
                <w:color w:val="auto"/>
              </w:rPr>
            </w:pPr>
          </w:p>
        </w:tc>
        <w:tc>
          <w:tcPr>
            <w:tcW w:w="4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005BA5"/>
            </w:tcBorders>
          </w:tcPr>
          <w:p>
            <w:pPr>
              <w:spacing w:after="0"/>
              <w:rPr>
                <w:sz w:val="2"/>
                <w:szCs w:val="2"/>
                <w:color w:val="auto"/>
              </w:rPr>
            </w:pPr>
          </w:p>
        </w:tc>
        <w:tc>
          <w:tcPr>
            <w:tcW w:w="4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005BA5"/>
            </w:tcBorders>
          </w:tcPr>
          <w:p>
            <w:pPr>
              <w:spacing w:after="0"/>
              <w:rPr>
                <w:sz w:val="2"/>
                <w:szCs w:val="2"/>
                <w:color w:val="auto"/>
              </w:rPr>
            </w:pPr>
          </w:p>
        </w:tc>
        <w:tc>
          <w:tcPr>
            <w:tcW w:w="4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r>
      <w:tr>
        <w:trPr>
          <w:trHeight w:val="231"/>
        </w:trPr>
        <w:tc>
          <w:tcPr>
            <w:tcW w:w="4760" w:type="dxa"/>
            <w:vAlign w:val="bottom"/>
            <w:gridSpan w:val="3"/>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8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r>
      <w:tr>
        <w:trPr>
          <w:trHeight w:val="217"/>
        </w:trPr>
        <w:tc>
          <w:tcPr>
            <w:tcW w:w="4760" w:type="dxa"/>
            <w:vAlign w:val="bottom"/>
            <w:gridSpan w:val="3"/>
          </w:tcPr>
          <w:p>
            <w:pPr>
              <w:ind w:left="40"/>
              <w:spacing w:after="0"/>
              <w:rPr>
                <w:sz w:val="20"/>
                <w:szCs w:val="20"/>
                <w:color w:val="auto"/>
              </w:rPr>
            </w:pPr>
            <w:r>
              <w:rPr>
                <w:rFonts w:ascii="Arial" w:cs="Arial" w:eastAsia="Arial" w:hAnsi="Arial"/>
                <w:sz w:val="16"/>
                <w:szCs w:val="16"/>
                <w:color w:val="auto"/>
              </w:rPr>
              <w:t>Auto</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w w:val="89"/>
              </w:rPr>
              <w:t>65.5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24.9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24.7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90.4</w:t>
            </w:r>
          </w:p>
        </w:tc>
        <w:tc>
          <w:tcPr>
            <w:tcW w:w="1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87.9</w:t>
            </w:r>
          </w:p>
        </w:tc>
      </w:tr>
      <w:tr>
        <w:trPr>
          <w:trHeight w:val="33"/>
        </w:trPr>
        <w:tc>
          <w:tcPr>
            <w:tcW w:w="3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8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r>
      <w:tr>
        <w:trPr>
          <w:trHeight w:val="217"/>
        </w:trPr>
        <w:tc>
          <w:tcPr>
            <w:tcW w:w="4760" w:type="dxa"/>
            <w:vAlign w:val="bottom"/>
            <w:gridSpan w:val="3"/>
          </w:tcPr>
          <w:p>
            <w:pPr>
              <w:ind w:left="40"/>
              <w:spacing w:after="0"/>
              <w:rPr>
                <w:sz w:val="20"/>
                <w:szCs w:val="20"/>
                <w:color w:val="auto"/>
              </w:rPr>
            </w:pPr>
            <w:r>
              <w:rPr>
                <w:rFonts w:ascii="Arial" w:cs="Arial" w:eastAsia="Arial" w:hAnsi="Arial"/>
                <w:sz w:val="16"/>
                <w:szCs w:val="16"/>
                <w:color w:val="auto"/>
              </w:rPr>
              <w:t>Homeowners</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w w:val="89"/>
              </w:rPr>
              <w:t>69.3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22.9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22.9</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92.2</w:t>
            </w:r>
          </w:p>
        </w:tc>
        <w:tc>
          <w:tcPr>
            <w:tcW w:w="1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80.5</w:t>
            </w:r>
          </w:p>
        </w:tc>
      </w:tr>
      <w:tr>
        <w:trPr>
          <w:trHeight w:val="33"/>
        </w:trPr>
        <w:tc>
          <w:tcPr>
            <w:tcW w:w="3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8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r>
      <w:tr>
        <w:trPr>
          <w:trHeight w:val="217"/>
        </w:trPr>
        <w:tc>
          <w:tcPr>
            <w:tcW w:w="4760" w:type="dxa"/>
            <w:vAlign w:val="bottom"/>
            <w:gridSpan w:val="3"/>
          </w:tcPr>
          <w:p>
            <w:pPr>
              <w:ind w:left="40"/>
              <w:spacing w:after="0"/>
              <w:rPr>
                <w:sz w:val="20"/>
                <w:szCs w:val="20"/>
                <w:color w:val="auto"/>
              </w:rPr>
            </w:pPr>
            <w:r>
              <w:rPr>
                <w:rFonts w:ascii="Arial" w:cs="Arial" w:eastAsia="Arial" w:hAnsi="Arial"/>
                <w:sz w:val="16"/>
                <w:szCs w:val="16"/>
                <w:color w:val="auto"/>
              </w:rPr>
              <w:t>Other personal lines</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w w:val="89"/>
              </w:rPr>
              <w:t>66.8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26.3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26.7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93.1</w:t>
            </w:r>
          </w:p>
        </w:tc>
        <w:tc>
          <w:tcPr>
            <w:tcW w:w="1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87.9</w:t>
            </w:r>
          </w:p>
        </w:tc>
      </w:tr>
      <w:tr>
        <w:trPr>
          <w:trHeight w:val="33"/>
        </w:trPr>
        <w:tc>
          <w:tcPr>
            <w:tcW w:w="3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8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r>
      <w:tr>
        <w:trPr>
          <w:trHeight w:val="217"/>
        </w:trPr>
        <w:tc>
          <w:tcPr>
            <w:tcW w:w="4760" w:type="dxa"/>
            <w:vAlign w:val="bottom"/>
            <w:gridSpan w:val="3"/>
          </w:tcPr>
          <w:p>
            <w:pPr>
              <w:ind w:left="40"/>
              <w:spacing w:after="0"/>
              <w:rPr>
                <w:sz w:val="20"/>
                <w:szCs w:val="20"/>
                <w:color w:val="auto"/>
              </w:rPr>
            </w:pPr>
            <w:r>
              <w:rPr>
                <w:rFonts w:ascii="Arial" w:cs="Arial" w:eastAsia="Arial" w:hAnsi="Arial"/>
                <w:sz w:val="16"/>
                <w:szCs w:val="16"/>
                <w:color w:val="auto"/>
              </w:rPr>
              <w:t>Commercial lines</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w w:val="89"/>
              </w:rPr>
              <w:t>76.0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20.2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25.7</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color w:val="auto"/>
                <w:w w:val="83"/>
              </w:rPr>
              <w:t>96.2</w:t>
            </w:r>
          </w:p>
        </w:tc>
        <w:tc>
          <w:tcPr>
            <w:tcW w:w="1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104.4</w:t>
            </w:r>
          </w:p>
        </w:tc>
      </w:tr>
      <w:tr>
        <w:trPr>
          <w:trHeight w:val="33"/>
        </w:trPr>
        <w:tc>
          <w:tcPr>
            <w:tcW w:w="3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8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r>
      <w:tr>
        <w:trPr>
          <w:trHeight w:val="217"/>
        </w:trPr>
        <w:tc>
          <w:tcPr>
            <w:tcW w:w="476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4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66.7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b w:val="1"/>
                <w:bCs w:val="1"/>
                <w:color w:val="auto"/>
              </w:rPr>
              <w:t>62.0</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b w:val="1"/>
                <w:bCs w:val="1"/>
                <w:color w:val="auto"/>
                <w:w w:val="83"/>
              </w:rPr>
              <w:t>24.2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b w:val="1"/>
                <w:bCs w:val="1"/>
                <w:color w:val="auto"/>
                <w:w w:val="83"/>
              </w:rPr>
              <w:t>24.3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ind w:right="39"/>
              <w:spacing w:after="0"/>
              <w:rPr>
                <w:sz w:val="20"/>
                <w:szCs w:val="20"/>
                <w:color w:val="auto"/>
              </w:rPr>
            </w:pPr>
            <w:r>
              <w:rPr>
                <w:rFonts w:ascii="Arial" w:cs="Arial" w:eastAsia="Arial" w:hAnsi="Arial"/>
                <w:sz w:val="16"/>
                <w:szCs w:val="16"/>
                <w:b w:val="1"/>
                <w:bCs w:val="1"/>
                <w:color w:val="auto"/>
                <w:w w:val="83"/>
              </w:rPr>
              <w:t>90.9</w:t>
            </w:r>
          </w:p>
        </w:tc>
        <w:tc>
          <w:tcPr>
            <w:tcW w:w="10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86.3</w:t>
            </w:r>
          </w:p>
        </w:tc>
      </w:tr>
      <w:tr>
        <w:trPr>
          <w:trHeight w:val="33"/>
        </w:trPr>
        <w:tc>
          <w:tcPr>
            <w:tcW w:w="3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005BA5"/>
            </w:tcBorders>
          </w:tcPr>
          <w:p>
            <w:pPr>
              <w:spacing w:after="0"/>
              <w:rPr>
                <w:sz w:val="2"/>
                <w:szCs w:val="2"/>
                <w:color w:val="auto"/>
              </w:rPr>
            </w:pPr>
          </w:p>
        </w:tc>
        <w:tc>
          <w:tcPr>
            <w:tcW w:w="8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005BA5"/>
            </w:tcBorders>
          </w:tcPr>
          <w:p>
            <w:pPr>
              <w:spacing w:after="0"/>
              <w:rPr>
                <w:sz w:val="2"/>
                <w:szCs w:val="2"/>
                <w:color w:val="auto"/>
              </w:rPr>
            </w:pPr>
          </w:p>
        </w:tc>
        <w:tc>
          <w:tcPr>
            <w:tcW w:w="4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005BA5"/>
            </w:tcBorders>
          </w:tcPr>
          <w:p>
            <w:pPr>
              <w:spacing w:after="0"/>
              <w:rPr>
                <w:sz w:val="2"/>
                <w:szCs w:val="2"/>
                <w:color w:val="auto"/>
              </w:rPr>
            </w:pPr>
          </w:p>
        </w:tc>
        <w:tc>
          <w:tcPr>
            <w:tcW w:w="4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005BA5"/>
            </w:tcBorders>
          </w:tcPr>
          <w:p>
            <w:pPr>
              <w:spacing w:after="0"/>
              <w:rPr>
                <w:sz w:val="2"/>
                <w:szCs w:val="2"/>
                <w:color w:val="auto"/>
              </w:rPr>
            </w:pPr>
          </w:p>
        </w:tc>
        <w:tc>
          <w:tcPr>
            <w:tcW w:w="4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r>
    </w:tbl>
    <w:p>
      <w:pPr>
        <w:spacing w:after="0" w:line="21" w:lineRule="exact"/>
        <w:rPr>
          <w:sz w:val="20"/>
          <w:szCs w:val="20"/>
          <w:color w:val="auto"/>
        </w:rPr>
      </w:pPr>
    </w:p>
    <w:p>
      <w:pPr>
        <w:ind w:left="280" w:hanging="191"/>
        <w:spacing w:after="0"/>
        <w:tabs>
          <w:tab w:leader="none" w:pos="280" w:val="left"/>
        </w:tabs>
        <w:numPr>
          <w:ilvl w:val="0"/>
          <w:numId w:val="49"/>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operating costs and expenses in the expense ratio calculation.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62 </w:t>
      </w:r>
      <w:r>
        <w:rPr>
          <w:sz w:val="1"/>
          <w:szCs w:val="1"/>
          <w:color w:val="auto"/>
        </w:rPr>
        <w:drawing>
          <wp:inline distT="0" distB="0" distL="0" distR="0">
            <wp:extent cx="111760" cy="1117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66" w:name="page67"/>
    <w:bookmarkEnd w:id="66"/>
    <w:p>
      <w:pPr>
        <w:ind w:left="7760"/>
        <w:spacing w:after="0"/>
        <w:rPr>
          <w:sz w:val="20"/>
          <w:szCs w:val="20"/>
          <w:color w:val="auto"/>
        </w:rPr>
      </w:pPr>
      <w:r>
        <w:rPr>
          <w:rFonts w:ascii="Arial" w:cs="Arial" w:eastAsia="Arial" w:hAnsi="Arial"/>
          <w:sz w:val="16"/>
          <w:szCs w:val="16"/>
          <w:color w:val="auto"/>
        </w:rPr>
        <w:t xml:space="preserve">Allstate Protection: Allstate brand </w:t>
      </w:r>
      <w:r>
        <w:rPr>
          <w:rFonts w:ascii="Arial" w:cs="Arial" w:eastAsia="Arial" w:hAnsi="Arial"/>
          <w:sz w:val="16"/>
          <w:szCs w:val="16"/>
          <w:color w:val="1666AF"/>
        </w:rPr>
        <w:t>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Loss ratios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Effect of catastrophe losses</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Effect of prior year reserve</w:t>
            </w: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included in prior year</w:t>
            </w: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660"/>
              <w:spacing w:after="0"/>
              <w:rPr>
                <w:sz w:val="20"/>
                <w:szCs w:val="20"/>
                <w:color w:val="auto"/>
              </w:rPr>
            </w:pPr>
            <w:r>
              <w:rPr>
                <w:rFonts w:ascii="Arial" w:cs="Arial" w:eastAsia="Arial" w:hAnsi="Arial"/>
                <w:sz w:val="16"/>
                <w:szCs w:val="16"/>
                <w:b w:val="1"/>
                <w:bCs w:val="1"/>
                <w:color w:val="auto"/>
                <w:w w:val="86"/>
              </w:rPr>
              <w:t>Loss ratio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Effect of catastrophe losses</w:t>
            </w:r>
          </w:p>
        </w:tc>
        <w:tc>
          <w:tcPr>
            <w:tcW w:w="20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7"/>
              </w:rPr>
              <w:t>reestimates</w:t>
            </w: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reserve reestimates</w:t>
            </w:r>
          </w:p>
        </w:tc>
      </w:tr>
      <w:tr>
        <w:trPr>
          <w:trHeight w:val="270"/>
        </w:trPr>
        <w:tc>
          <w:tcPr>
            <w:tcW w:w="3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3"/>
                <w:szCs w:val="23"/>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3"/>
                <w:szCs w:val="23"/>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3"/>
                <w:szCs w:val="23"/>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3"/>
                <w:szCs w:val="23"/>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r>
      <w:tr>
        <w:trPr>
          <w:trHeight w:val="231"/>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65.5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63.2</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69.3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Commercial lines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66.7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62.0</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8.3</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4.5</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(0.8)</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0.6</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r>
    </w:tbl>
    <w:p>
      <w:pPr>
        <w:spacing w:after="0" w:line="110" w:lineRule="exact"/>
        <w:rPr>
          <w:sz w:val="20"/>
          <w:szCs w:val="20"/>
          <w:color w:val="auto"/>
        </w:rPr>
      </w:pPr>
    </w:p>
    <w:p>
      <w:pPr>
        <w:sectPr>
          <w:pgSz w:w="11900" w:h="16838" w:orient="portrait"/>
          <w:cols w:equalWidth="0" w:num="1">
            <w:col w:w="11420"/>
          </w:cols>
          <w:pgMar w:left="240" w:top="141" w:right="239" w:bottom="1440" w:gutter="0" w:footer="0" w:header="0"/>
        </w:sectPr>
      </w:pPr>
    </w:p>
    <w:p>
      <w:pPr>
        <w:ind w:firstLine="324"/>
        <w:spacing w:after="0" w:line="249" w:lineRule="auto"/>
        <w:rPr>
          <w:sz w:val="20"/>
          <w:szCs w:val="20"/>
          <w:color w:val="auto"/>
        </w:rPr>
      </w:pPr>
      <w:r>
        <w:rPr>
          <w:rFonts w:ascii="Arial" w:cs="Arial" w:eastAsia="Arial" w:hAnsi="Arial"/>
          <w:sz w:val="16"/>
          <w:szCs w:val="16"/>
          <w:color w:val="auto"/>
        </w:rPr>
        <w:t>Frequency and severity statistics, which are influenced by driving patterns, inflation and other factors, are provided to describe the trends in loss costs of the business. Our reserving process incorporates changes in loss patterns, operational statistics and changes in claims reporting processes to determine our best estimate of recorded reserves. We use the following statistics to evaluate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347345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2" w:lineRule="exact"/>
        <w:rPr>
          <w:sz w:val="20"/>
          <w:szCs w:val="20"/>
          <w:color w:val="auto"/>
        </w:rPr>
      </w:pPr>
    </w:p>
    <w:p>
      <w:pPr>
        <w:ind w:left="200" w:right="260" w:hanging="161"/>
        <w:spacing w:after="0" w:line="216" w:lineRule="auto"/>
        <w:tabs>
          <w:tab w:leader="none" w:pos="135" w:val="left"/>
        </w:tabs>
        <w:numPr>
          <w:ilvl w:val="0"/>
          <w:numId w:val="50"/>
        </w:numPr>
        <w:rPr>
          <w:rFonts w:ascii="Arial" w:cs="Arial" w:eastAsia="Arial" w:hAnsi="Arial"/>
          <w:sz w:val="16"/>
          <w:szCs w:val="16"/>
          <w:color w:val="005BA5"/>
        </w:rPr>
      </w:pPr>
      <w:r>
        <w:rPr>
          <w:rFonts w:ascii="Arial" w:cs="Arial" w:eastAsia="Arial" w:hAnsi="Arial"/>
          <w:sz w:val="16"/>
          <w:szCs w:val="16"/>
          <w:i w:val="1"/>
          <w:iCs w:val="1"/>
          <w:color w:val="auto"/>
        </w:rPr>
        <w:t xml:space="preserve">Paid claim frequency </w:t>
      </w:r>
      <w:r>
        <w:rPr>
          <w:rFonts w:ascii="Arial" w:cs="Arial" w:eastAsia="Arial" w:hAnsi="Arial"/>
          <w:sz w:val="27"/>
          <w:szCs w:val="27"/>
          <w:color w:val="005BA5"/>
          <w:vertAlign w:val="superscript"/>
        </w:rPr>
        <w:t>(1)</w:t>
      </w:r>
      <w:r>
        <w:rPr>
          <w:rFonts w:ascii="Arial" w:cs="Arial" w:eastAsia="Arial" w:hAnsi="Arial"/>
          <w:sz w:val="16"/>
          <w:szCs w:val="16"/>
          <w:i w:val="1"/>
          <w:iCs w:val="1"/>
          <w:color w:val="auto"/>
        </w:rPr>
        <w:t xml:space="preserve"> </w:t>
      </w:r>
      <w:r>
        <w:rPr>
          <w:rFonts w:ascii="Arial" w:cs="Arial" w:eastAsia="Arial" w:hAnsi="Arial"/>
          <w:sz w:val="16"/>
          <w:szCs w:val="16"/>
          <w:color w:val="auto"/>
        </w:rPr>
        <w:t>is calculated as annualized notice counts closed with</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in the period divided by the average of PIF with the applicable coverage during the period.</w:t>
      </w:r>
    </w:p>
    <w:p>
      <w:pPr>
        <w:spacing w:after="0" w:line="15" w:lineRule="exact"/>
        <w:rPr>
          <w:rFonts w:ascii="Arial" w:cs="Arial" w:eastAsia="Arial" w:hAnsi="Arial"/>
          <w:sz w:val="16"/>
          <w:szCs w:val="16"/>
          <w:color w:val="005BA5"/>
        </w:rPr>
      </w:pPr>
    </w:p>
    <w:p>
      <w:pPr>
        <w:ind w:left="180" w:hanging="141"/>
        <w:spacing w:after="0"/>
        <w:tabs>
          <w:tab w:leader="none" w:pos="180" w:val="left"/>
        </w:tabs>
        <w:numPr>
          <w:ilvl w:val="0"/>
          <w:numId w:val="50"/>
        </w:numPr>
        <w:rPr>
          <w:rFonts w:ascii="Arial" w:cs="Arial" w:eastAsia="Arial" w:hAnsi="Arial"/>
          <w:sz w:val="14"/>
          <w:szCs w:val="14"/>
          <w:color w:val="005BA5"/>
        </w:rPr>
      </w:pPr>
      <w:r>
        <w:rPr>
          <w:rFonts w:ascii="Arial" w:cs="Arial" w:eastAsia="Arial" w:hAnsi="Arial"/>
          <w:sz w:val="14"/>
          <w:szCs w:val="14"/>
          <w:i w:val="1"/>
          <w:iCs w:val="1"/>
          <w:color w:val="auto"/>
        </w:rPr>
        <w:t xml:space="preserve">Gross claim frequency </w:t>
      </w:r>
      <w:r>
        <w:rPr>
          <w:rFonts w:ascii="Arial" w:cs="Arial" w:eastAsia="Arial" w:hAnsi="Arial"/>
          <w:sz w:val="23"/>
          <w:szCs w:val="23"/>
          <w:color w:val="005BA5"/>
          <w:vertAlign w:val="superscript"/>
        </w:rPr>
        <w:t>(1)</w:t>
      </w:r>
      <w:r>
        <w:rPr>
          <w:rFonts w:ascii="Arial" w:cs="Arial" w:eastAsia="Arial" w:hAnsi="Arial"/>
          <w:sz w:val="14"/>
          <w:szCs w:val="14"/>
          <w:i w:val="1"/>
          <w:iCs w:val="1"/>
          <w:color w:val="auto"/>
        </w:rPr>
        <w:t xml:space="preserve"> </w:t>
      </w:r>
      <w:r>
        <w:rPr>
          <w:rFonts w:ascii="Arial" w:cs="Arial" w:eastAsia="Arial" w:hAnsi="Arial"/>
          <w:sz w:val="14"/>
          <w:szCs w:val="14"/>
          <w:color w:val="auto"/>
        </w:rPr>
        <w:t>is calculated as annualized notice counts received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347345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rPr>
          <w:sz w:val="20"/>
          <w:szCs w:val="20"/>
          <w:color w:val="auto"/>
        </w:rPr>
      </w:pPr>
      <w:r>
        <w:rPr>
          <w:rFonts w:ascii="Arial" w:cs="Arial" w:eastAsia="Arial" w:hAnsi="Arial"/>
          <w:sz w:val="16"/>
          <w:szCs w:val="16"/>
          <w:color w:val="auto"/>
        </w:rPr>
        <w:t>customer experiences that are simple, fast and produce high degrees of satisfaction. We have opened several Digital Operating Centers to handle auto physical damage claims countrywide utilizing our virtual estimation capabilities, which includes estimating damage through photos and video with the use of QuickFoto Claim</w:t>
      </w:r>
      <w:r>
        <w:rPr>
          <w:rFonts w:ascii="Arial" w:cs="Arial" w:eastAsia="Arial" w:hAnsi="Arial"/>
          <w:sz w:val="27"/>
          <w:szCs w:val="27"/>
          <w:color w:val="auto"/>
          <w:vertAlign w:val="superscript"/>
        </w:rPr>
        <w:t>®</w:t>
      </w:r>
      <w:r>
        <w:rPr>
          <w:rFonts w:ascii="Arial" w:cs="Arial" w:eastAsia="Arial" w:hAnsi="Arial"/>
          <w:sz w:val="16"/>
          <w:szCs w:val="16"/>
          <w:color w:val="auto"/>
        </w:rPr>
        <w:t xml:space="preserve"> and Virtual Assist</w:t>
      </w:r>
      <w:r>
        <w:rPr>
          <w:rFonts w:ascii="Arial" w:cs="Arial" w:eastAsia="Arial" w:hAnsi="Arial"/>
          <w:sz w:val="27"/>
          <w:szCs w:val="27"/>
          <w:color w:val="auto"/>
          <w:vertAlign w:val="superscript"/>
        </w:rPr>
        <w:t>®</w:t>
      </w:r>
      <w:r>
        <w:rPr>
          <w:rFonts w:ascii="Arial" w:cs="Arial" w:eastAsia="Arial" w:hAnsi="Arial"/>
          <w:sz w:val="16"/>
          <w:szCs w:val="16"/>
          <w:color w:val="auto"/>
        </w:rPr>
        <w:t>. We are also leveraging virtual capabilities to handle property claims by estimating damage through video with Virtual Assist and aerial imagery using satellites, airplanes and drones. These organizational and process changes impact frequency and severity statistics as changes in claim opening and closing practices and shifts in timing, if any, can impact comparisons to prior periods.</w:t>
      </w:r>
    </w:p>
    <w:p>
      <w:pPr>
        <w:spacing w:after="0" w:line="222" w:lineRule="exact"/>
        <w:rPr>
          <w:sz w:val="20"/>
          <w:szCs w:val="20"/>
          <w:color w:val="auto"/>
        </w:rPr>
      </w:pPr>
    </w:p>
    <w:p>
      <w:pPr>
        <w:sectPr>
          <w:pgSz w:w="11900" w:h="16838" w:orient="portrait"/>
          <w:cols w:equalWidth="0" w:num="2">
            <w:col w:w="5420" w:space="520"/>
            <w:col w:w="5480"/>
          </w:cols>
          <w:pgMar w:left="240" w:top="141" w:right="239" w:bottom="1440" w:gutter="0" w:footer="0" w:header="0"/>
          <w:type w:val="continuous"/>
        </w:sectPr>
      </w:pPr>
    </w:p>
    <w:p>
      <w:pPr>
        <w:ind w:left="200" w:right="60"/>
        <w:spacing w:after="0" w:line="268" w:lineRule="auto"/>
        <w:rPr>
          <w:sz w:val="20"/>
          <w:szCs w:val="20"/>
          <w:color w:val="auto"/>
        </w:rPr>
      </w:pPr>
      <w:r>
        <w:rPr>
          <w:rFonts w:ascii="Arial" w:cs="Arial" w:eastAsia="Arial" w:hAnsi="Arial"/>
          <w:sz w:val="16"/>
          <w:szCs w:val="16"/>
          <w:color w:val="auto"/>
        </w:rPr>
        <w:t>the period divided by the average of PIF with the applicable coverage during the period. Gross claim frequency includes all actual notice counts, regardless of their current status (open or closed) or their ultimate disposition (closed with a payment or closed without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347345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4" w:lineRule="exact"/>
        <w:rPr>
          <w:sz w:val="20"/>
          <w:szCs w:val="20"/>
          <w:color w:val="auto"/>
        </w:rPr>
      </w:pPr>
    </w:p>
    <w:p>
      <w:pPr>
        <w:ind w:left="200" w:right="420" w:hanging="161"/>
        <w:spacing w:after="0" w:line="329" w:lineRule="auto"/>
        <w:tabs>
          <w:tab w:leader="none" w:pos="135" w:val="left"/>
        </w:tabs>
        <w:numPr>
          <w:ilvl w:val="0"/>
          <w:numId w:val="51"/>
        </w:numPr>
        <w:rPr>
          <w:rFonts w:ascii="Arial" w:cs="Arial" w:eastAsia="Arial" w:hAnsi="Arial"/>
          <w:sz w:val="15"/>
          <w:szCs w:val="15"/>
          <w:color w:val="005BA5"/>
        </w:rPr>
      </w:pPr>
      <w:r>
        <w:rPr>
          <w:rFonts w:ascii="Arial" w:cs="Arial" w:eastAsia="Arial" w:hAnsi="Arial"/>
          <w:sz w:val="15"/>
          <w:szCs w:val="15"/>
          <w:i w:val="1"/>
          <w:iCs w:val="1"/>
          <w:color w:val="auto"/>
        </w:rPr>
        <w:t xml:space="preserve">Paid claim severity </w:t>
      </w:r>
      <w:r>
        <w:rPr>
          <w:rFonts w:ascii="Arial" w:cs="Arial" w:eastAsia="Arial" w:hAnsi="Arial"/>
          <w:sz w:val="15"/>
          <w:szCs w:val="15"/>
          <w:color w:val="auto"/>
        </w:rPr>
        <w:t>is calculated by dividing the sum of paid losses and loss</w:t>
      </w:r>
      <w:r>
        <w:rPr>
          <w:rFonts w:ascii="Arial" w:cs="Arial" w:eastAsia="Arial" w:hAnsi="Arial"/>
          <w:sz w:val="15"/>
          <w:szCs w:val="15"/>
          <w:i w:val="1"/>
          <w:iCs w:val="1"/>
          <w:color w:val="auto"/>
        </w:rPr>
        <w:t xml:space="preserve"> </w:t>
      </w:r>
      <w:r>
        <w:rPr>
          <w:rFonts w:ascii="Arial" w:cs="Arial" w:eastAsia="Arial" w:hAnsi="Arial"/>
          <w:sz w:val="15"/>
          <w:szCs w:val="15"/>
          <w:color w:val="auto"/>
        </w:rPr>
        <w:t>expenses by claims closed with a payment during the period.</w:t>
      </w:r>
    </w:p>
    <w:p>
      <w:pPr>
        <w:spacing w:after="0" w:line="202" w:lineRule="exact"/>
        <w:rPr>
          <w:rFonts w:ascii="Arial" w:cs="Arial" w:eastAsia="Arial" w:hAnsi="Arial"/>
          <w:sz w:val="15"/>
          <w:szCs w:val="15"/>
          <w:color w:val="005BA5"/>
        </w:rPr>
      </w:pPr>
    </w:p>
    <w:p>
      <w:pPr>
        <w:ind w:left="200" w:right="40" w:hanging="161"/>
        <w:spacing w:after="0" w:line="273" w:lineRule="auto"/>
        <w:tabs>
          <w:tab w:leader="none" w:pos="135" w:val="left"/>
        </w:tabs>
        <w:numPr>
          <w:ilvl w:val="0"/>
          <w:numId w:val="51"/>
        </w:numPr>
        <w:rPr>
          <w:rFonts w:ascii="Arial" w:cs="Arial" w:eastAsia="Arial" w:hAnsi="Arial"/>
          <w:sz w:val="16"/>
          <w:szCs w:val="16"/>
          <w:color w:val="005BA5"/>
        </w:rPr>
      </w:pPr>
      <w:r>
        <w:rPr>
          <w:rFonts w:ascii="Arial" w:cs="Arial" w:eastAsia="Arial" w:hAnsi="Arial"/>
          <w:sz w:val="16"/>
          <w:szCs w:val="16"/>
          <w:i w:val="1"/>
          <w:iCs w:val="1"/>
          <w:color w:val="auto"/>
        </w:rPr>
        <w:t xml:space="preserve">Percent change in frequency or severity statistic </w:t>
      </w:r>
      <w:r>
        <w:rPr>
          <w:rFonts w:ascii="Arial" w:cs="Arial" w:eastAsia="Arial" w:hAnsi="Arial"/>
          <w:sz w:val="16"/>
          <w:szCs w:val="16"/>
          <w:color w:val="auto"/>
        </w:rPr>
        <w:t>is calculated as the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or decrease in the paid or gross claim frequency or severity in the current period compared to the same period in the prior year divided by the prior year paid or gross claim frequency or severity.</w:t>
      </w:r>
    </w:p>
    <w:p>
      <w:pPr>
        <w:spacing w:after="0" w:line="44" w:lineRule="exact"/>
        <w:rPr>
          <w:rFonts w:ascii="Arial" w:cs="Arial" w:eastAsia="Arial" w:hAnsi="Arial"/>
          <w:sz w:val="16"/>
          <w:szCs w:val="16"/>
          <w:color w:val="005BA5"/>
        </w:rPr>
      </w:pPr>
    </w:p>
    <w:p>
      <w:pPr>
        <w:ind w:left="280" w:hanging="191"/>
        <w:spacing w:after="0"/>
        <w:tabs>
          <w:tab w:leader="none" w:pos="280" w:val="left"/>
        </w:tabs>
        <w:numPr>
          <w:ilvl w:val="1"/>
          <w:numId w:val="51"/>
        </w:numPr>
        <w:rPr>
          <w:rFonts w:ascii="Arial" w:cs="Arial" w:eastAsia="Arial" w:hAnsi="Arial"/>
          <w:sz w:val="23"/>
          <w:szCs w:val="23"/>
          <w:color w:val="005BA5"/>
          <w:vertAlign w:val="superscript"/>
        </w:rPr>
      </w:pPr>
      <w:r>
        <w:rPr>
          <w:rFonts w:ascii="Arial" w:cs="Arial" w:eastAsia="Arial" w:hAnsi="Arial"/>
          <w:sz w:val="14"/>
          <w:szCs w:val="14"/>
          <w:color w:val="auto"/>
        </w:rPr>
        <w:t>Frequency statistics exclude counts associated with catastrophe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347345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347345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75" w:lineRule="exact"/>
        <w:rPr>
          <w:sz w:val="20"/>
          <w:szCs w:val="20"/>
          <w:color w:val="auto"/>
        </w:rPr>
      </w:pPr>
    </w:p>
    <w:p>
      <w:pPr>
        <w:ind w:firstLine="324"/>
        <w:spacing w:after="0" w:line="247" w:lineRule="auto"/>
        <w:rPr>
          <w:sz w:val="20"/>
          <w:szCs w:val="20"/>
          <w:color w:val="auto"/>
        </w:rPr>
      </w:pPr>
      <w:r>
        <w:rPr>
          <w:rFonts w:ascii="Arial" w:cs="Arial" w:eastAsia="Arial" w:hAnsi="Arial"/>
          <w:sz w:val="16"/>
          <w:szCs w:val="16"/>
          <w:color w:val="auto"/>
        </w:rPr>
        <w:t>Paid claim frequency trends will often differ from gross claim frequency trends due to differences in the timing of when notices are received and when claims are settled. For property damage claims, paid frequency trends reflect smaller differences as timing between opening and settlement is generally less. For bodily injury, gross frequency trends reflect emerging trends since the difference in timing between opening and settlement is much greater and gross frequency does not experience the same volatility in quarterly fluctuations seen in paid frequency. In evaluating frequency, we typically rely upon paid frequency trends for physical damage coverages such as property damage and gross frequency for casualty coverages such as bodily injury to provide an indicator of emerging trends in overall claim frequency while also providing insights for our analysis of severity.</w:t>
      </w:r>
    </w:p>
    <w:p>
      <w:pPr>
        <w:spacing w:after="0" w:line="105" w:lineRule="exact"/>
        <w:rPr>
          <w:sz w:val="20"/>
          <w:szCs w:val="20"/>
          <w:color w:val="auto"/>
        </w:rPr>
      </w:pPr>
    </w:p>
    <w:p>
      <w:pPr>
        <w:jc w:val="both"/>
        <w:ind w:right="780" w:firstLine="324"/>
        <w:spacing w:after="0" w:line="253" w:lineRule="auto"/>
        <w:rPr>
          <w:sz w:val="20"/>
          <w:szCs w:val="20"/>
          <w:color w:val="auto"/>
        </w:rPr>
      </w:pPr>
      <w:r>
        <w:rPr>
          <w:rFonts w:ascii="Arial" w:cs="Arial" w:eastAsia="Arial" w:hAnsi="Arial"/>
          <w:sz w:val="16"/>
          <w:szCs w:val="16"/>
          <w:color w:val="auto"/>
        </w:rPr>
        <w:t>We are continuing to implement new technology and process improvements that provide continued loss cost accuracy, efficient processing and enhanced</w:t>
      </w:r>
    </w:p>
    <w:p>
      <w:pPr>
        <w:spacing w:after="0" w:line="20" w:lineRule="exact"/>
        <w:rPr>
          <w:sz w:val="20"/>
          <w:szCs w:val="20"/>
          <w:color w:val="auto"/>
        </w:rPr>
      </w:pPr>
      <w:r>
        <w:rPr>
          <w:sz w:val="20"/>
          <w:szCs w:val="20"/>
          <w:color w:val="auto"/>
        </w:rPr>
        <w:br w:type="column"/>
      </w:r>
    </w:p>
    <w:p>
      <w:pPr>
        <w:ind w:right="40" w:firstLine="324"/>
        <w:spacing w:after="0" w:line="250" w:lineRule="auto"/>
        <w:rPr>
          <w:sz w:val="20"/>
          <w:szCs w:val="20"/>
          <w:color w:val="auto"/>
        </w:rPr>
      </w:pPr>
      <w:r>
        <w:rPr>
          <w:rFonts w:ascii="Arial" w:cs="Arial" w:eastAsia="Arial" w:hAnsi="Arial"/>
          <w:sz w:val="16"/>
          <w:szCs w:val="16"/>
          <w:i w:val="1"/>
          <w:iCs w:val="1"/>
          <w:color w:val="1666AF"/>
        </w:rPr>
        <w:t xml:space="preserve">Auto loss ratio </w:t>
      </w:r>
      <w:r>
        <w:rPr>
          <w:rFonts w:ascii="Arial" w:cs="Arial" w:eastAsia="Arial" w:hAnsi="Arial"/>
          <w:sz w:val="16"/>
          <w:szCs w:val="16"/>
          <w:color w:val="000000"/>
        </w:rPr>
        <w:t>increased 2.3 points in the first quarter of 2019,</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compared to the same period of 2018, primarily due to higher catastrophe losses, higher claim severity and lower favorable non-catastrophe prior year reserve estimates, partially offset by increased premiums earned and improved claim frequency.</w:t>
      </w:r>
    </w:p>
    <w:p>
      <w:pPr>
        <w:spacing w:after="0" w:line="79" w:lineRule="exact"/>
        <w:rPr>
          <w:sz w:val="20"/>
          <w:szCs w:val="20"/>
          <w:color w:val="auto"/>
        </w:rPr>
      </w:pPr>
    </w:p>
    <w:p>
      <w:pPr>
        <w:ind w:right="20" w:firstLine="324"/>
        <w:spacing w:after="0" w:line="250" w:lineRule="auto"/>
        <w:rPr>
          <w:sz w:val="20"/>
          <w:szCs w:val="20"/>
          <w:color w:val="auto"/>
        </w:rPr>
      </w:pPr>
      <w:r>
        <w:rPr>
          <w:rFonts w:ascii="Arial" w:cs="Arial" w:eastAsia="Arial" w:hAnsi="Arial"/>
          <w:sz w:val="16"/>
          <w:szCs w:val="16"/>
          <w:i w:val="1"/>
          <w:iCs w:val="1"/>
          <w:color w:val="1666AF"/>
        </w:rPr>
        <w:t xml:space="preserve">Property damage </w:t>
      </w:r>
      <w:r>
        <w:rPr>
          <w:rFonts w:ascii="Arial" w:cs="Arial" w:eastAsia="Arial" w:hAnsi="Arial"/>
          <w:sz w:val="16"/>
          <w:szCs w:val="16"/>
          <w:color w:val="000000"/>
        </w:rPr>
        <w:t>paid claim frequency decreased 3.6% in the first</w:t>
      </w:r>
      <w:r>
        <w:rPr>
          <w:rFonts w:ascii="Arial" w:cs="Arial" w:eastAsia="Arial" w:hAnsi="Arial"/>
          <w:sz w:val="16"/>
          <w:szCs w:val="16"/>
          <w:i w:val="1"/>
          <w:iCs w:val="1"/>
          <w:color w:val="1666AF"/>
        </w:rPr>
        <w:t xml:space="preserve"> </w:t>
      </w:r>
      <w:r>
        <w:rPr>
          <w:rFonts w:ascii="Arial" w:cs="Arial" w:eastAsia="Arial" w:hAnsi="Arial"/>
          <w:sz w:val="16"/>
          <w:szCs w:val="16"/>
          <w:color w:val="000000"/>
        </w:rPr>
        <w:t>quarter of 2019, compared to the same period of 2018. 36 states experienced a year over year decrease in property damage paid claim frequency in the first three months of 2019 when compared to the same period of 2018. Property damage paid claim severities increased 6.1% in the first quarter of 2019, compared to the same period of 2018 due to the impact of higher costs to repair more sophisticated newer model vehicles, higher third-party subrogation demands and increased costs associated with total losses.</w:t>
      </w:r>
    </w:p>
    <w:p>
      <w:pPr>
        <w:spacing w:after="0" w:line="85"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6"/>
          <w:szCs w:val="16"/>
          <w:i w:val="1"/>
          <w:iCs w:val="1"/>
          <w:color w:val="1666AF"/>
        </w:rPr>
        <w:t xml:space="preserve">Bodily injury </w:t>
      </w:r>
      <w:r>
        <w:rPr>
          <w:rFonts w:ascii="Arial" w:cs="Arial" w:eastAsia="Arial" w:hAnsi="Arial"/>
          <w:sz w:val="16"/>
          <w:szCs w:val="16"/>
          <w:color w:val="000000"/>
        </w:rPr>
        <w:t>gross claim frequency decreased 1.2% in the first quarter</w:t>
      </w:r>
      <w:r>
        <w:rPr>
          <w:rFonts w:ascii="Arial" w:cs="Arial" w:eastAsia="Arial" w:hAnsi="Arial"/>
          <w:sz w:val="16"/>
          <w:szCs w:val="16"/>
          <w:i w:val="1"/>
          <w:iCs w:val="1"/>
          <w:color w:val="1666AF"/>
        </w:rPr>
        <w:t xml:space="preserve"> </w:t>
      </w:r>
      <w:r>
        <w:rPr>
          <w:rFonts w:ascii="Arial" w:cs="Arial" w:eastAsia="Arial" w:hAnsi="Arial"/>
          <w:sz w:val="16"/>
          <w:szCs w:val="16"/>
          <w:color w:val="000000"/>
        </w:rPr>
        <w:t>of 2019 compared to the same period of 2018. Bodily injury severity trends have been increasing generally less than medical care inflation indices.</w:t>
      </w:r>
    </w:p>
    <w:p>
      <w:pPr>
        <w:spacing w:after="0" w:line="68" w:lineRule="exact"/>
        <w:rPr>
          <w:sz w:val="20"/>
          <w:szCs w:val="20"/>
          <w:color w:val="auto"/>
        </w:rPr>
      </w:pPr>
    </w:p>
    <w:p>
      <w:pPr>
        <w:ind w:right="20" w:firstLine="324"/>
        <w:spacing w:after="0" w:line="252" w:lineRule="auto"/>
        <w:rPr>
          <w:sz w:val="20"/>
          <w:szCs w:val="20"/>
          <w:color w:val="auto"/>
        </w:rPr>
      </w:pPr>
      <w:r>
        <w:rPr>
          <w:rFonts w:ascii="Arial" w:cs="Arial" w:eastAsia="Arial" w:hAnsi="Arial"/>
          <w:sz w:val="16"/>
          <w:szCs w:val="16"/>
          <w:i w:val="1"/>
          <w:iCs w:val="1"/>
          <w:color w:val="1666AF"/>
        </w:rPr>
        <w:t xml:space="preserve">Homeowners loss ratio </w:t>
      </w:r>
      <w:r>
        <w:rPr>
          <w:rFonts w:ascii="Arial" w:cs="Arial" w:eastAsia="Arial" w:hAnsi="Arial"/>
          <w:sz w:val="16"/>
          <w:szCs w:val="16"/>
          <w:color w:val="000000"/>
        </w:rPr>
        <w:t>increased 11.7 points in the first quarter of 2019</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compared to the same period of 2018 primarily due to higher catastrophe losses, partially offset by increased premiums earned. Paid claim frequency excluding catastrophe losses increased 1.1% in the first quarter of 2019 compared to the same period of 2018. Paid claim severity excluding catastrophe losses increased 0.5% in the first quarter of 2019, compared to the same period of 2018.</w:t>
      </w:r>
    </w:p>
    <w:p>
      <w:pPr>
        <w:spacing w:after="0" w:line="1066"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137"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63</w:t>
      </w:r>
    </w:p>
    <w:p>
      <w:pPr>
        <w:sectPr>
          <w:pgSz w:w="11900" w:h="16838" w:orient="portrait"/>
          <w:cols w:equalWidth="0" w:num="1">
            <w:col w:w="11420"/>
          </w:cols>
          <w:pgMar w:left="240" w:top="141" w:right="2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6"/>
          <w:szCs w:val="16"/>
          <w:color w:val="1666AF"/>
        </w:rPr>
        <w:t xml:space="preserve">Segment Results </w:t>
      </w:r>
      <w:r>
        <w:rPr>
          <w:rFonts w:ascii="Arial" w:cs="Arial" w:eastAsia="Arial" w:hAnsi="Arial"/>
          <w:sz w:val="16"/>
          <w:szCs w:val="16"/>
          <w:color w:val="000000"/>
        </w:rPr>
        <w:t>Allstate Protection: Allstate brand</w:t>
      </w:r>
    </w:p>
    <w:p>
      <w:pPr>
        <w:spacing w:after="0" w:line="35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Homeowner paid claim severity can be impacted by both the mix of perils and the magnitude of specific losses paid during the quarter.</w:t>
      </w:r>
    </w:p>
    <w:p>
      <w:pPr>
        <w:spacing w:after="0" w:line="72" w:lineRule="exact"/>
        <w:rPr>
          <w:sz w:val="20"/>
          <w:szCs w:val="20"/>
          <w:color w:val="auto"/>
        </w:rPr>
      </w:pPr>
    </w:p>
    <w:p>
      <w:pPr>
        <w:ind w:firstLine="324"/>
        <w:spacing w:after="0" w:line="264" w:lineRule="auto"/>
        <w:rPr>
          <w:sz w:val="20"/>
          <w:szCs w:val="20"/>
          <w:color w:val="auto"/>
        </w:rPr>
      </w:pPr>
      <w:r>
        <w:rPr>
          <w:rFonts w:ascii="Arial" w:cs="Arial" w:eastAsia="Arial" w:hAnsi="Arial"/>
          <w:sz w:val="16"/>
          <w:szCs w:val="16"/>
          <w:i w:val="1"/>
          <w:iCs w:val="1"/>
          <w:color w:val="1666AF"/>
        </w:rPr>
        <w:t xml:space="preserve">Other personal lines loss ratio </w:t>
      </w:r>
      <w:r>
        <w:rPr>
          <w:rFonts w:ascii="Arial" w:cs="Arial" w:eastAsia="Arial" w:hAnsi="Arial"/>
          <w:sz w:val="16"/>
          <w:szCs w:val="16"/>
          <w:color w:val="000000"/>
        </w:rPr>
        <w:t>increased 5.6 points in the first quarter of</w:t>
      </w:r>
      <w:r>
        <w:rPr>
          <w:rFonts w:ascii="Arial" w:cs="Arial" w:eastAsia="Arial" w:hAnsi="Arial"/>
          <w:sz w:val="16"/>
          <w:szCs w:val="16"/>
          <w:i w:val="1"/>
          <w:iCs w:val="1"/>
          <w:color w:val="1666AF"/>
        </w:rPr>
        <w:t xml:space="preserve"> </w:t>
      </w:r>
      <w:r>
        <w:rPr>
          <w:rFonts w:ascii="Arial" w:cs="Arial" w:eastAsia="Arial" w:hAnsi="Arial"/>
          <w:sz w:val="16"/>
          <w:szCs w:val="16"/>
          <w:color w:val="000000"/>
        </w:rPr>
        <w:t>2019 compared to the same period of 2018, primarily due to higher catastrophe losses, partially offset by increased premiums earned.</w:t>
      </w:r>
    </w:p>
    <w:p>
      <w:pPr>
        <w:spacing w:after="0" w:line="68" w:lineRule="exact"/>
        <w:rPr>
          <w:sz w:val="20"/>
          <w:szCs w:val="20"/>
          <w:color w:val="auto"/>
        </w:rPr>
      </w:pPr>
    </w:p>
    <w:p>
      <w:pPr>
        <w:ind w:right="160" w:firstLine="324"/>
        <w:spacing w:after="0" w:line="281" w:lineRule="auto"/>
        <w:rPr>
          <w:sz w:val="20"/>
          <w:szCs w:val="20"/>
          <w:color w:val="auto"/>
        </w:rPr>
      </w:pPr>
      <w:r>
        <w:rPr>
          <w:rFonts w:ascii="Arial" w:cs="Arial" w:eastAsia="Arial" w:hAnsi="Arial"/>
          <w:sz w:val="16"/>
          <w:szCs w:val="16"/>
          <w:i w:val="1"/>
          <w:iCs w:val="1"/>
          <w:color w:val="1666AF"/>
        </w:rPr>
        <w:t xml:space="preserve">Commercial lines loss ratio </w:t>
      </w:r>
      <w:r>
        <w:rPr>
          <w:rFonts w:ascii="Arial" w:cs="Arial" w:eastAsia="Arial" w:hAnsi="Arial"/>
          <w:sz w:val="16"/>
          <w:szCs w:val="16"/>
          <w:color w:val="000000"/>
        </w:rPr>
        <w:t>decreased 2.7 points in the first quarter of</w:t>
      </w:r>
      <w:r>
        <w:rPr>
          <w:rFonts w:ascii="Arial" w:cs="Arial" w:eastAsia="Arial" w:hAnsi="Arial"/>
          <w:sz w:val="16"/>
          <w:szCs w:val="16"/>
          <w:i w:val="1"/>
          <w:iCs w:val="1"/>
          <w:color w:val="1666AF"/>
        </w:rPr>
        <w:t xml:space="preserve"> </w:t>
      </w:r>
      <w:r>
        <w:rPr>
          <w:rFonts w:ascii="Arial" w:cs="Arial" w:eastAsia="Arial" w:hAnsi="Arial"/>
          <w:sz w:val="16"/>
          <w:szCs w:val="16"/>
          <w:color w:val="000000"/>
        </w:rPr>
        <w:t>2019 compared to the same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of 2018, primarily due to increased premiums earned and lower unfavorable non-catastrophe prior year reserve reestimates, partially offset by higher severity. Commercial lines recorded losses related to an agreement with a transportation network company are based on original pricing expectations given limited loss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522605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8" w:lineRule="exact"/>
        <w:rPr>
          <w:sz w:val="20"/>
          <w:szCs w:val="20"/>
          <w:color w:val="auto"/>
        </w:rPr>
      </w:pPr>
    </w:p>
    <w:p>
      <w:pPr>
        <w:sectPr>
          <w:pgSz w:w="11900" w:h="16838" w:orient="portrait"/>
          <w:cols w:equalWidth="0" w:num="2">
            <w:col w:w="5460" w:space="480"/>
            <w:col w:w="5440"/>
          </w:cols>
          <w:pgMar w:left="240" w:top="141" w:right="279" w:bottom="1440" w:gutter="0" w:footer="0" w:header="0"/>
        </w:sectPr>
      </w:pPr>
    </w:p>
    <w:p>
      <w:pPr>
        <w:spacing w:after="0" w:line="1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Expense ratios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109"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1" w:right="279" w:bottom="1440" w:gutter="0" w:footer="0" w:header="0"/>
          <w:type w:val="continuous"/>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Homeowners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personal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Commercial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Total expense ratio </w:t>
      </w:r>
      <w:r>
        <w:rPr>
          <w:rFonts w:ascii="Arial" w:cs="Arial" w:eastAsia="Arial" w:hAnsi="Arial"/>
          <w:sz w:val="22"/>
          <w:szCs w:val="22"/>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6829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52070</wp:posOffset>
            </wp:positionV>
            <wp:extent cx="87503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45085</wp:posOffset>
            </wp:positionV>
            <wp:extent cx="85788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3">
            <w:col w:w="8840" w:space="720"/>
            <w:col w:w="740" w:space="720"/>
            <w:col w:w="360"/>
          </w:cols>
          <w:pgMar w:left="240" w:top="141" w:right="279" w:bottom="1440" w:gutter="0" w:footer="0" w:header="0"/>
          <w:type w:val="continuous"/>
        </w:sectPr>
      </w:pPr>
    </w:p>
    <w:p>
      <w:pPr>
        <w:ind w:left="280" w:hanging="191"/>
        <w:spacing w:after="0" w:line="213" w:lineRule="auto"/>
        <w:tabs>
          <w:tab w:leader="none" w:pos="280" w:val="left"/>
        </w:tabs>
        <w:numPr>
          <w:ilvl w:val="0"/>
          <w:numId w:val="52"/>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other costs and expenses in the expense ratio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 of specific costs and expenses on the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109"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1" w:right="279" w:bottom="1440" w:gutter="0" w:footer="0" w:header="0"/>
          <w:type w:val="continuous"/>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Advertising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Other costs and expenses </w:t>
      </w:r>
      <w:r>
        <w:rPr>
          <w:rFonts w:ascii="Arial" w:cs="Arial" w:eastAsia="Arial" w:hAnsi="Arial"/>
          <w:sz w:val="27"/>
          <w:szCs w:val="27"/>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3682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Restructuring and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36829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3682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right"/>
        <w:ind w:right="460"/>
        <w:spacing w:after="0"/>
        <w:rPr>
          <w:sz w:val="20"/>
          <w:szCs w:val="20"/>
          <w:color w:val="auto"/>
        </w:rPr>
      </w:pPr>
      <w:r>
        <w:rPr>
          <w:rFonts w:ascii="Arial" w:cs="Arial" w:eastAsia="Arial" w:hAnsi="Arial"/>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jc w:val="right"/>
        <w:ind w:right="4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34925</wp:posOffset>
            </wp:positionV>
            <wp:extent cx="87503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6" w:lineRule="exact"/>
        <w:rPr>
          <w:sz w:val="20"/>
          <w:szCs w:val="20"/>
          <w:color w:val="auto"/>
        </w:rPr>
      </w:pPr>
    </w:p>
    <w:p>
      <w:pPr>
        <w:jc w:val="right"/>
        <w:ind w:right="46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34925</wp:posOffset>
            </wp:positionV>
            <wp:extent cx="87503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6" w:lineRule="exact"/>
        <w:rPr>
          <w:sz w:val="20"/>
          <w:szCs w:val="20"/>
          <w:color w:val="auto"/>
        </w:rPr>
      </w:pPr>
    </w:p>
    <w:p>
      <w:pPr>
        <w:jc w:val="right"/>
        <w:ind w:right="460"/>
        <w:spacing w:after="0"/>
        <w:rPr>
          <w:sz w:val="20"/>
          <w:szCs w:val="20"/>
          <w:color w:val="auto"/>
        </w:rPr>
      </w:pPr>
      <w:r>
        <w:rPr>
          <w:rFonts w:ascii="Arial" w:cs="Arial" w:eastAsia="Arial" w:hAnsi="Arial"/>
          <w:sz w:val="16"/>
          <w:szCs w:val="16"/>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34925</wp:posOffset>
            </wp:positionV>
            <wp:extent cx="87503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2" w:lineRule="exact"/>
        <w:rPr>
          <w:sz w:val="20"/>
          <w:szCs w:val="20"/>
          <w:color w:val="auto"/>
        </w:rPr>
      </w:pPr>
    </w:p>
    <w:p>
      <w:pPr>
        <w:jc w:val="right"/>
        <w:ind w:right="460"/>
        <w:spacing w:after="0"/>
        <w:rPr>
          <w:sz w:val="20"/>
          <w:szCs w:val="20"/>
          <w:color w:val="auto"/>
        </w:rPr>
      </w:pPr>
      <w:r>
        <w:rPr>
          <w:rFonts w:ascii="Arial" w:cs="Arial" w:eastAsia="Arial" w:hAnsi="Arial"/>
          <w:sz w:val="14"/>
          <w:szCs w:val="14"/>
          <w:b w:val="1"/>
          <w:bCs w:val="1"/>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52070</wp:posOffset>
            </wp:positionV>
            <wp:extent cx="87503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right"/>
        <w:ind w:right="60"/>
        <w:spacing w:after="0"/>
        <w:rPr>
          <w:sz w:val="20"/>
          <w:szCs w:val="20"/>
          <w:color w:val="auto"/>
        </w:rPr>
      </w:pPr>
      <w:r>
        <w:rPr>
          <w:rFonts w:ascii="Arial" w:cs="Arial" w:eastAsia="Arial" w:hAnsi="Arial"/>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34925</wp:posOffset>
            </wp:positionV>
            <wp:extent cx="85788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34925</wp:posOffset>
            </wp:positionV>
            <wp:extent cx="85788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34925</wp:posOffset>
            </wp:positionV>
            <wp:extent cx="85788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2" w:lineRule="exact"/>
        <w:rPr>
          <w:sz w:val="20"/>
          <w:szCs w:val="20"/>
          <w:color w:val="auto"/>
        </w:rPr>
      </w:pPr>
    </w:p>
    <w:p>
      <w:pPr>
        <w:jc w:val="right"/>
        <w:ind w:right="60"/>
        <w:spacing w:after="0"/>
        <w:rPr>
          <w:sz w:val="20"/>
          <w:szCs w:val="20"/>
          <w:color w:val="auto"/>
        </w:rPr>
      </w:pPr>
      <w:r>
        <w:rPr>
          <w:rFonts w:ascii="Arial" w:cs="Arial" w:eastAsia="Arial" w:hAnsi="Arial"/>
          <w:sz w:val="15"/>
          <w:szCs w:val="15"/>
          <w:b w:val="1"/>
          <w:bCs w:val="1"/>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45085</wp:posOffset>
            </wp:positionV>
            <wp:extent cx="85788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3">
            <w:col w:w="8840" w:space="720"/>
            <w:col w:w="740" w:space="720"/>
            <w:col w:w="360"/>
          </w:cols>
          <w:pgMar w:left="240" w:top="141" w:right="279" w:bottom="1440" w:gutter="0" w:footer="0" w:header="0"/>
          <w:type w:val="continuous"/>
        </w:sectPr>
      </w:pPr>
    </w:p>
    <w:p>
      <w:pPr>
        <w:ind w:left="280" w:hanging="191"/>
        <w:spacing w:after="0"/>
        <w:tabs>
          <w:tab w:leader="none" w:pos="280" w:val="left"/>
        </w:tabs>
        <w:numPr>
          <w:ilvl w:val="0"/>
          <w:numId w:val="53"/>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other costs and expenses in the expense ratio calculation.</w:t>
      </w:r>
    </w:p>
    <w:p>
      <w:pPr>
        <w:sectPr>
          <w:pgSz w:w="11900" w:h="16838" w:orient="portrait"/>
          <w:cols w:equalWidth="0" w:num="1">
            <w:col w:w="11380"/>
          </w:cols>
          <w:pgMar w:left="240" w:top="141" w:right="279" w:bottom="1440" w:gutter="0" w:footer="0" w:header="0"/>
          <w:type w:val="continuous"/>
        </w:sectPr>
      </w:pPr>
    </w:p>
    <w:p>
      <w:pPr>
        <w:spacing w:after="0" w:line="95"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i w:val="1"/>
          <w:iCs w:val="1"/>
          <w:color w:val="1666AF"/>
        </w:rPr>
        <w:t xml:space="preserve">Expense ratio </w:t>
      </w:r>
      <w:r>
        <w:rPr>
          <w:rFonts w:ascii="Arial" w:cs="Arial" w:eastAsia="Arial" w:hAnsi="Arial"/>
          <w:sz w:val="16"/>
          <w:szCs w:val="16"/>
          <w:color w:val="000000"/>
        </w:rPr>
        <w:t>decreased 0.1 points in the first quarter of 2019</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compared to the same period of 2018, as operating costs, reported in other costs and expenses, decreased as a percentage of earned premiums, partially offset by higher amortization of DAC and advertising costs.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40" w:firstLine="324"/>
        <w:spacing w:after="0" w:line="251" w:lineRule="auto"/>
        <w:rPr>
          <w:sz w:val="20"/>
          <w:szCs w:val="20"/>
          <w:color w:val="auto"/>
        </w:rPr>
      </w:pPr>
      <w:r>
        <w:rPr>
          <w:rFonts w:ascii="Arial" w:cs="Arial" w:eastAsia="Arial" w:hAnsi="Arial"/>
          <w:sz w:val="16"/>
          <w:szCs w:val="16"/>
          <w:color w:val="auto"/>
        </w:rPr>
        <w:t>Amortization of DAC primarily includes agent remuneration and premium taxes. Allstate agency total incurred base commissions, variable compensation and bonuses in the first quarter of 2019 were higher than the same period of 2018.</w:t>
      </w:r>
    </w:p>
    <w:p>
      <w:pPr>
        <w:spacing w:after="0" w:line="200" w:lineRule="exact"/>
        <w:rPr>
          <w:sz w:val="20"/>
          <w:szCs w:val="20"/>
          <w:color w:val="auto"/>
        </w:rPr>
      </w:pPr>
    </w:p>
    <w:p>
      <w:pPr>
        <w:sectPr>
          <w:pgSz w:w="11900" w:h="16838" w:orient="portrait"/>
          <w:cols w:equalWidth="0" w:num="2">
            <w:col w:w="5380" w:space="560"/>
            <w:col w:w="5440"/>
          </w:cols>
          <w:pgMar w:left="240" w:top="141" w:right="27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64 </w:t>
      </w:r>
      <w:r>
        <w:rPr>
          <w:sz w:val="1"/>
          <w:szCs w:val="1"/>
          <w:color w:val="auto"/>
        </w:rPr>
        <w:drawing>
          <wp:inline distT="0" distB="0" distL="0" distR="0">
            <wp:extent cx="111760" cy="11176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380"/>
          </w:cols>
          <w:pgMar w:left="240" w:top="141" w:right="279" w:bottom="1440" w:gutter="0" w:footer="0" w:header="0"/>
          <w:type w:val="continuous"/>
        </w:sectPr>
      </w:pPr>
    </w:p>
    <w:bookmarkStart w:id="68" w:name="page69"/>
    <w:bookmarkEnd w:id="68"/>
    <w:p>
      <w:pPr>
        <w:ind w:left="7600"/>
        <w:spacing w:after="0"/>
        <w:rPr>
          <w:sz w:val="20"/>
          <w:szCs w:val="20"/>
          <w:color w:val="auto"/>
        </w:rPr>
      </w:pPr>
      <w:r>
        <w:rPr>
          <w:rFonts w:ascii="Arial" w:cs="Arial" w:eastAsia="Arial" w:hAnsi="Arial"/>
          <w:sz w:val="16"/>
          <w:szCs w:val="16"/>
          <w:color w:val="auto"/>
        </w:rPr>
        <w:t xml:space="preserve">Allstate Protection: Esurance brand </w:t>
      </w:r>
      <w:r>
        <w:rPr>
          <w:rFonts w:ascii="Arial" w:cs="Arial" w:eastAsia="Arial" w:hAnsi="Arial"/>
          <w:sz w:val="16"/>
          <w:szCs w:val="16"/>
          <w:color w:val="1666AF"/>
        </w:rPr>
        <w:t>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996950</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413385</wp:posOffset>
            </wp:positionV>
            <wp:extent cx="1449070" cy="4972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44907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 written</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559</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493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 earned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Claims and claims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DAC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Catastrophe losses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005BA5"/>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005BA5"/>
              <w:bottom w:val="single" w:sz="8" w:color="auto"/>
            </w:tcBorders>
          </w:tcPr>
          <w:p>
            <w:pPr>
              <w:spacing w:after="0"/>
              <w:rPr>
                <w:sz w:val="22"/>
                <w:szCs w:val="22"/>
                <w:color w:val="auto"/>
              </w:rPr>
            </w:pPr>
          </w:p>
        </w:tc>
        <w:tc>
          <w:tcPr>
            <w:tcW w:w="1060" w:type="dxa"/>
            <w:vAlign w:val="bottom"/>
            <w:tcBorders>
              <w:top w:val="single" w:sz="8" w:color="005BA5"/>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005BA5"/>
              <w:bottom w:val="single" w:sz="8" w:color="auto"/>
            </w:tcBorders>
          </w:tcPr>
          <w:p>
            <w:pPr>
              <w:spacing w:after="0"/>
              <w:rPr>
                <w:sz w:val="22"/>
                <w:szCs w:val="22"/>
                <w:color w:val="auto"/>
              </w:rPr>
            </w:pPr>
          </w:p>
        </w:tc>
        <w:tc>
          <w:tcPr>
            <w:tcW w:w="1040" w:type="dxa"/>
            <w:vAlign w:val="bottom"/>
            <w:tcBorders>
              <w:top w:val="single" w:sz="8" w:color="005BA5"/>
              <w:bottom w:val="single" w:sz="8" w:color="auto"/>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 (loss) by line of business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Changes in underwriting results from prior year by component </w:t>
      </w:r>
      <w:r>
        <w:rPr>
          <w:rFonts w:ascii="Arial" w:cs="Arial" w:eastAsia="Arial" w:hAnsi="Arial"/>
          <w:sz w:val="27"/>
          <w:szCs w:val="27"/>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Underwriting income (loss) - prior period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Changes in underwriting income (loss) from:</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premiums earned</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other revenue</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incurred claims and claims expense (“losses”):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Incurred losses, excluding catastrophe losses and reserve reestimates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Catastrophe losses, excluding reserve reestimates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Catastrophe reserve reestimates</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Non-catastrophe reserve reestimates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color w:val="auto"/>
              </w:rPr>
              <w:t>Losses subtotal</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91"/>
        <w:spacing w:after="0"/>
        <w:tabs>
          <w:tab w:leader="none" w:pos="280" w:val="left"/>
        </w:tabs>
        <w:numPr>
          <w:ilvl w:val="0"/>
          <w:numId w:val="54"/>
        </w:numPr>
        <w:rPr>
          <w:rFonts w:ascii="Arial" w:cs="Arial" w:eastAsia="Arial" w:hAnsi="Arial"/>
          <w:sz w:val="23"/>
          <w:szCs w:val="23"/>
          <w:color w:val="005BA5"/>
          <w:vertAlign w:val="superscript"/>
        </w:rPr>
      </w:pPr>
      <w:r>
        <w:rPr>
          <w:rFonts w:ascii="Arial" w:cs="Arial" w:eastAsia="Arial" w:hAnsi="Arial"/>
          <w:sz w:val="14"/>
          <w:szCs w:val="14"/>
          <w:color w:val="auto"/>
        </w:rPr>
        <w:t>The 2019 column presents changes in 2019 compared to 2018. The 2018 column presents changes in 2018 compared to 2017.</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1666AF"/>
        </w:rPr>
        <w:t xml:space="preserve">Underwriting income </w:t>
      </w:r>
      <w:r>
        <w:rPr>
          <w:rFonts w:ascii="Arial" w:cs="Arial" w:eastAsia="Arial" w:hAnsi="Arial"/>
          <w:sz w:val="16"/>
          <w:szCs w:val="16"/>
          <w:color w:val="000000"/>
        </w:rPr>
        <w:t>totaled $3 million in both the first quarter of 2019 and 2018 as higher premiums earned in 2019 were offset by increased loss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Premiums written and earned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20"/>
                <w:szCs w:val="20"/>
                <w:color w:val="auto"/>
              </w:rPr>
            </w:pPr>
          </w:p>
        </w:tc>
        <w:tc>
          <w:tcPr>
            <w:tcW w:w="26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49"/>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Premiums written</w:t>
            </w:r>
          </w:p>
        </w:tc>
        <w:tc>
          <w:tcPr>
            <w:tcW w:w="240" w:type="dxa"/>
            <w:vAlign w:val="bottom"/>
          </w:tcPr>
          <w:p>
            <w:pPr>
              <w:spacing w:after="0"/>
              <w:rPr>
                <w:sz w:val="21"/>
                <w:szCs w:val="21"/>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470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559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493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Premiums earned</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502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433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65</w:t>
      </w:r>
    </w:p>
    <w:p>
      <w:pPr>
        <w:sectPr>
          <w:pgSz w:w="11900" w:h="16838" w:orient="portrait"/>
          <w:cols w:equalWidth="0" w:num="1">
            <w:col w:w="11420"/>
          </w:cols>
          <w:pgMar w:left="240" w:top="141" w:right="239" w:bottom="1052" w:gutter="0" w:footer="0" w:header="0"/>
        </w:sectPr>
      </w:pPr>
    </w:p>
    <w:bookmarkStart w:id="69" w:name="page70"/>
    <w:bookmarkEnd w:id="69"/>
    <w:p>
      <w:pPr>
        <w:spacing w:after="0"/>
        <w:rPr>
          <w:sz w:val="20"/>
          <w:szCs w:val="20"/>
          <w:color w:val="auto"/>
        </w:rPr>
      </w:pPr>
      <w:r>
        <w:rPr>
          <w:rFonts w:ascii="Arial" w:cs="Arial" w:eastAsia="Arial" w:hAnsi="Arial"/>
          <w:sz w:val="16"/>
          <w:szCs w:val="16"/>
          <w:color w:val="1666AF"/>
        </w:rPr>
        <w:t xml:space="preserve">Segment Results </w:t>
      </w:r>
      <w:r>
        <w:rPr>
          <w:rFonts w:ascii="Arial" w:cs="Arial" w:eastAsia="Arial" w:hAnsi="Arial"/>
          <w:sz w:val="16"/>
          <w:szCs w:val="16"/>
          <w:color w:val="000000"/>
        </w:rPr>
        <w:t>Allstate Protection: Esurance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Auto premium measures and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109"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PIF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issued applications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36829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Renewal ratio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Approved rate changes </w:t>
      </w:r>
      <w:r>
        <w:rPr>
          <w:rFonts w:ascii="Arial" w:cs="Arial" w:eastAsia="Arial" w:hAnsi="Arial"/>
          <w:sz w:val="27"/>
          <w:szCs w:val="27"/>
          <w:color w:val="005BA5"/>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6829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1,399</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158</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625</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605</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83.5</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18008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7860" w:space="720"/>
            <w:col w:w="2840"/>
          </w:cols>
          <w:pgMar w:left="240" w:top="141" w:right="239" w:bottom="1440" w:gutter="0" w:footer="0" w:header="0"/>
          <w:type w:val="continuous"/>
        </w:sectPr>
      </w:pPr>
    </w:p>
    <w:p>
      <w:pPr>
        <w:ind w:left="180"/>
        <w:spacing w:after="0" w:line="208" w:lineRule="auto"/>
        <w:rPr>
          <w:sz w:val="20"/>
          <w:szCs w:val="20"/>
          <w:color w:val="auto"/>
        </w:rPr>
      </w:pPr>
      <w:r>
        <w:rPr>
          <w:rFonts w:ascii="Arial" w:cs="Arial" w:eastAsia="Arial" w:hAnsi="Arial"/>
          <w:sz w:val="16"/>
          <w:szCs w:val="16"/>
          <w:color w:val="auto"/>
        </w:rPr>
        <w:t xml:space="preserve">Number of locations </w:t>
      </w:r>
      <w:r>
        <w:rPr>
          <w:rFonts w:ascii="Arial" w:cs="Arial" w:eastAsia="Arial" w:hAnsi="Arial"/>
          <w:sz w:val="27"/>
          <w:szCs w:val="27"/>
          <w:color w:val="005BA5"/>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36829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180"/>
        <w:spacing w:after="0" w:line="209" w:lineRule="auto"/>
        <w:rPr>
          <w:sz w:val="20"/>
          <w:szCs w:val="20"/>
          <w:color w:val="auto"/>
        </w:rPr>
      </w:pPr>
      <w:r>
        <w:rPr>
          <w:rFonts w:ascii="Arial" w:cs="Arial" w:eastAsia="Arial" w:hAnsi="Arial"/>
          <w:sz w:val="16"/>
          <w:szCs w:val="16"/>
          <w:color w:val="auto"/>
        </w:rPr>
        <w:t xml:space="preserve">Total brand (%) </w:t>
      </w:r>
      <w:r>
        <w:rPr>
          <w:rFonts w:ascii="Arial" w:cs="Arial" w:eastAsia="Arial" w:hAnsi="Arial"/>
          <w:sz w:val="27"/>
          <w:szCs w:val="27"/>
          <w:color w:val="005BA5"/>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36829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 xml:space="preserve">Location specific (%) </w:t>
      </w:r>
      <w:r>
        <w:rPr>
          <w:rFonts w:ascii="Arial" w:cs="Arial" w:eastAsia="Arial" w:hAnsi="Arial"/>
          <w:sz w:val="23"/>
          <w:szCs w:val="23"/>
          <w:color w:val="005BA5"/>
          <w:vertAlign w:val="superscript"/>
        </w:rPr>
        <w:t>(4)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36829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5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27940</wp:posOffset>
            </wp:positionV>
            <wp:extent cx="87503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49530</wp:posOffset>
            </wp:positionV>
            <wp:extent cx="8750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49530</wp:posOffset>
            </wp:positionV>
            <wp:extent cx="87503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27940</wp:posOffset>
            </wp:positionV>
            <wp:extent cx="8578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42545</wp:posOffset>
            </wp:positionV>
            <wp:extent cx="85788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42545</wp:posOffset>
            </wp:positionV>
            <wp:extent cx="85788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39" w:lineRule="exact"/>
        <w:rPr>
          <w:sz w:val="20"/>
          <w:szCs w:val="20"/>
          <w:color w:val="auto"/>
        </w:rPr>
      </w:pPr>
    </w:p>
    <w:p>
      <w:pPr>
        <w:sectPr>
          <w:pgSz w:w="11900" w:h="16838" w:orient="portrait"/>
          <w:cols w:equalWidth="0" w:num="3">
            <w:col w:w="8940" w:space="720"/>
            <w:col w:w="720" w:space="720"/>
            <w:col w:w="320"/>
          </w:cols>
          <w:pgMar w:left="240" w:top="141" w:right="239" w:bottom="1440" w:gutter="0" w:footer="0" w:header="0"/>
          <w:type w:val="continuous"/>
        </w:sectPr>
      </w:pPr>
    </w:p>
    <w:p>
      <w:pPr>
        <w:ind w:left="280" w:right="240" w:hanging="191"/>
        <w:spacing w:after="0" w:line="188" w:lineRule="auto"/>
        <w:tabs>
          <w:tab w:leader="none" w:pos="280" w:val="left"/>
        </w:tabs>
        <w:numPr>
          <w:ilvl w:val="0"/>
          <w:numId w:val="55"/>
        </w:numPr>
        <w:rPr>
          <w:rFonts w:ascii="Arial" w:cs="Arial" w:eastAsia="Arial" w:hAnsi="Arial"/>
          <w:sz w:val="23"/>
          <w:szCs w:val="23"/>
          <w:color w:val="005BA5"/>
          <w:vertAlign w:val="superscript"/>
        </w:rPr>
      </w:pPr>
      <w:r>
        <w:rPr>
          <w:rFonts w:ascii="Arial" w:cs="Arial" w:eastAsia="Arial" w:hAnsi="Arial"/>
          <w:sz w:val="14"/>
          <w:szCs w:val="14"/>
          <w:color w:val="auto"/>
        </w:rPr>
        <w:t>Rate changes do not include rating plan enhancements, including the introduction of discounts and surcharges that result in no change in the overall rate level in a location. These rate changes do not reflect initial rates filed for insurance subsidiaries initially writing business in a location.</w:t>
      </w:r>
    </w:p>
    <w:p>
      <w:pPr>
        <w:spacing w:after="0" w:line="1" w:lineRule="exact"/>
        <w:rPr>
          <w:rFonts w:ascii="Arial" w:cs="Arial" w:eastAsia="Arial" w:hAnsi="Arial"/>
          <w:sz w:val="23"/>
          <w:szCs w:val="23"/>
          <w:color w:val="005BA5"/>
          <w:vertAlign w:val="superscript"/>
        </w:rPr>
      </w:pPr>
    </w:p>
    <w:p>
      <w:pPr>
        <w:ind w:left="280" w:hanging="191"/>
        <w:spacing w:after="0" w:line="196" w:lineRule="auto"/>
        <w:tabs>
          <w:tab w:leader="none" w:pos="280" w:val="left"/>
        </w:tabs>
        <w:numPr>
          <w:ilvl w:val="0"/>
          <w:numId w:val="55"/>
        </w:numPr>
        <w:rPr>
          <w:rFonts w:ascii="Arial" w:cs="Arial" w:eastAsia="Arial" w:hAnsi="Arial"/>
          <w:sz w:val="23"/>
          <w:szCs w:val="23"/>
          <w:color w:val="005BA5"/>
          <w:vertAlign w:val="superscript"/>
        </w:rPr>
      </w:pPr>
      <w:r>
        <w:rPr>
          <w:rFonts w:ascii="Arial" w:cs="Arial" w:eastAsia="Arial" w:hAnsi="Arial"/>
          <w:sz w:val="14"/>
          <w:szCs w:val="14"/>
          <w:color w:val="auto"/>
        </w:rPr>
        <w:t>Esurance brand operates in 43 states. In the second quarter of 2018, Esurance discontinued its operations in Canada.</w:t>
      </w:r>
    </w:p>
    <w:p>
      <w:pPr>
        <w:spacing w:after="0" w:line="43" w:lineRule="exact"/>
        <w:rPr>
          <w:rFonts w:ascii="Arial" w:cs="Arial" w:eastAsia="Arial" w:hAnsi="Arial"/>
          <w:sz w:val="23"/>
          <w:szCs w:val="23"/>
          <w:color w:val="005BA5"/>
          <w:vertAlign w:val="superscript"/>
        </w:rPr>
      </w:pPr>
    </w:p>
    <w:p>
      <w:pPr>
        <w:ind w:left="280" w:hanging="191"/>
        <w:spacing w:after="0" w:line="199" w:lineRule="auto"/>
        <w:tabs>
          <w:tab w:leader="none" w:pos="280" w:val="left"/>
        </w:tabs>
        <w:numPr>
          <w:ilvl w:val="0"/>
          <w:numId w:val="55"/>
        </w:numPr>
        <w:rPr>
          <w:rFonts w:ascii="Arial" w:cs="Arial" w:eastAsia="Arial" w:hAnsi="Arial"/>
          <w:sz w:val="18"/>
          <w:szCs w:val="18"/>
          <w:color w:val="005BA5"/>
          <w:vertAlign w:val="superscript"/>
        </w:rPr>
      </w:pPr>
      <w:r>
        <w:rPr>
          <w:rFonts w:ascii="Arial" w:cs="Arial" w:eastAsia="Arial" w:hAnsi="Arial"/>
          <w:sz w:val="12"/>
          <w:szCs w:val="12"/>
          <w:color w:val="auto"/>
        </w:rPr>
        <w:t>Represents the impact in the states where rate changes were approved during the period as a percentage of total brand 2018 and 2017 premiums written, respectively.</w:t>
      </w:r>
    </w:p>
    <w:p>
      <w:pPr>
        <w:spacing w:after="0" w:line="44" w:lineRule="exact"/>
        <w:rPr>
          <w:rFonts w:ascii="Arial" w:cs="Arial" w:eastAsia="Arial" w:hAnsi="Arial"/>
          <w:sz w:val="18"/>
          <w:szCs w:val="18"/>
          <w:color w:val="005BA5"/>
          <w:vertAlign w:val="superscript"/>
        </w:rPr>
      </w:pPr>
    </w:p>
    <w:p>
      <w:pPr>
        <w:ind w:left="280" w:right="240" w:hanging="191"/>
        <w:spacing w:after="0" w:line="188" w:lineRule="auto"/>
        <w:tabs>
          <w:tab w:leader="none" w:pos="280" w:val="left"/>
        </w:tabs>
        <w:numPr>
          <w:ilvl w:val="0"/>
          <w:numId w:val="55"/>
        </w:numPr>
        <w:rPr>
          <w:rFonts w:ascii="Arial" w:cs="Arial" w:eastAsia="Arial" w:hAnsi="Arial"/>
          <w:sz w:val="23"/>
          <w:szCs w:val="23"/>
          <w:color w:val="005BA5"/>
          <w:vertAlign w:val="superscript"/>
        </w:rPr>
      </w:pPr>
      <w:r>
        <w:rPr>
          <w:rFonts w:ascii="Arial" w:cs="Arial" w:eastAsia="Arial" w:hAnsi="Arial"/>
          <w:sz w:val="14"/>
          <w:szCs w:val="14"/>
          <w:color w:val="auto"/>
        </w:rPr>
        <w:t>Represents the impact in the states where rate changes were approved during the period as a percentage of their respective total 2018 and 2017 premiums written in those same locations.</w:t>
      </w:r>
    </w:p>
    <w:p>
      <w:pPr>
        <w:spacing w:after="0" w:line="44" w:lineRule="exact"/>
        <w:rPr>
          <w:rFonts w:ascii="Arial" w:cs="Arial" w:eastAsia="Arial" w:hAnsi="Arial"/>
          <w:sz w:val="23"/>
          <w:szCs w:val="23"/>
          <w:color w:val="005BA5"/>
          <w:vertAlign w:val="superscript"/>
        </w:rPr>
      </w:pPr>
    </w:p>
    <w:p>
      <w:pPr>
        <w:ind w:left="280" w:right="620" w:hanging="191"/>
        <w:spacing w:after="0" w:line="188" w:lineRule="auto"/>
        <w:tabs>
          <w:tab w:leader="none" w:pos="280" w:val="left"/>
        </w:tabs>
        <w:numPr>
          <w:ilvl w:val="0"/>
          <w:numId w:val="55"/>
        </w:numPr>
        <w:rPr>
          <w:rFonts w:ascii="Arial" w:cs="Arial" w:eastAsia="Arial" w:hAnsi="Arial"/>
          <w:sz w:val="23"/>
          <w:szCs w:val="23"/>
          <w:color w:val="005BA5"/>
          <w:vertAlign w:val="superscript"/>
        </w:rPr>
      </w:pPr>
      <w:r>
        <w:rPr>
          <w:rFonts w:ascii="Arial" w:cs="Arial" w:eastAsia="Arial" w:hAnsi="Arial"/>
          <w:sz w:val="14"/>
          <w:szCs w:val="14"/>
          <w:color w:val="auto"/>
        </w:rPr>
        <w:t>Based on historical premiums written in the locations noted above, the annual impact of rate changes approved for auto totaled $12 million in the three months ended March 31, 2019 compared to $3 million in the three months ended March 31, 2018.</w:t>
      </w:r>
    </w:p>
    <w:p>
      <w:pPr>
        <w:sectPr>
          <w:pgSz w:w="11900" w:h="16838" w:orient="portrait"/>
          <w:cols w:equalWidth="0" w:num="1">
            <w:col w:w="11420"/>
          </w:cols>
          <w:pgMar w:left="240" w:top="141" w:right="239" w:bottom="1440" w:gutter="0" w:footer="0" w:header="0"/>
          <w:type w:val="continuous"/>
        </w:sectPr>
      </w:pPr>
    </w:p>
    <w:p>
      <w:pPr>
        <w:spacing w:after="0" w:line="80" w:lineRule="exact"/>
        <w:rPr>
          <w:sz w:val="20"/>
          <w:szCs w:val="20"/>
          <w:color w:val="auto"/>
        </w:rPr>
      </w:pPr>
    </w:p>
    <w:p>
      <w:pPr>
        <w:ind w:firstLine="324"/>
        <w:spacing w:after="0" w:line="264" w:lineRule="auto"/>
        <w:rPr>
          <w:sz w:val="20"/>
          <w:szCs w:val="20"/>
          <w:color w:val="auto"/>
        </w:rPr>
      </w:pPr>
      <w:r>
        <w:rPr>
          <w:rFonts w:ascii="Arial" w:cs="Arial" w:eastAsia="Arial" w:hAnsi="Arial"/>
          <w:sz w:val="16"/>
          <w:szCs w:val="16"/>
          <w:i w:val="1"/>
          <w:iCs w:val="1"/>
          <w:color w:val="1666AF"/>
        </w:rPr>
        <w:t xml:space="preserve">Auto insurance premiums written </w:t>
      </w:r>
      <w:r>
        <w:rPr>
          <w:rFonts w:ascii="Arial" w:cs="Arial" w:eastAsia="Arial" w:hAnsi="Arial"/>
          <w:sz w:val="16"/>
          <w:szCs w:val="16"/>
          <w:color w:val="000000"/>
        </w:rPr>
        <w:t>totaled $532 million in the first quarter</w:t>
      </w:r>
      <w:r>
        <w:rPr>
          <w:rFonts w:ascii="Arial" w:cs="Arial" w:eastAsia="Arial" w:hAnsi="Arial"/>
          <w:sz w:val="16"/>
          <w:szCs w:val="16"/>
          <w:i w:val="1"/>
          <w:iCs w:val="1"/>
          <w:color w:val="1666AF"/>
        </w:rPr>
        <w:t xml:space="preserve"> </w:t>
      </w:r>
      <w:r>
        <w:rPr>
          <w:rFonts w:ascii="Arial" w:cs="Arial" w:eastAsia="Arial" w:hAnsi="Arial"/>
          <w:sz w:val="16"/>
          <w:szCs w:val="16"/>
          <w:color w:val="000000"/>
        </w:rPr>
        <w:t>of 2019, a 13.2% increase from $470 million in the first quarter of 2018. Factors impacting premiums written were:</w:t>
      </w:r>
    </w:p>
    <w:p>
      <w:pPr>
        <w:spacing w:after="0" w:line="72" w:lineRule="exact"/>
        <w:rPr>
          <w:sz w:val="20"/>
          <w:szCs w:val="20"/>
          <w:color w:val="auto"/>
        </w:rPr>
      </w:pPr>
    </w:p>
    <w:p>
      <w:pPr>
        <w:ind w:left="340" w:right="40" w:hanging="251"/>
        <w:spacing w:after="0" w:line="275" w:lineRule="auto"/>
        <w:tabs>
          <w:tab w:leader="none" w:pos="340" w:val="left"/>
        </w:tabs>
        <w:numPr>
          <w:ilvl w:val="0"/>
          <w:numId w:val="56"/>
        </w:numPr>
        <w:rPr>
          <w:rFonts w:ascii="Arial" w:cs="Arial" w:eastAsia="Arial" w:hAnsi="Arial"/>
          <w:sz w:val="16"/>
          <w:szCs w:val="16"/>
          <w:color w:val="005BA5"/>
        </w:rPr>
      </w:pPr>
      <w:r>
        <w:rPr>
          <w:rFonts w:ascii="Arial" w:cs="Arial" w:eastAsia="Arial" w:hAnsi="Arial"/>
          <w:sz w:val="16"/>
          <w:szCs w:val="16"/>
          <w:color w:val="auto"/>
        </w:rPr>
        <w:t>10.7% or 149 thousand increase in PIF as of March 31, 2019 compared to March 31, 2018.</w:t>
      </w:r>
    </w:p>
    <w:p>
      <w:pPr>
        <w:spacing w:after="0" w:line="64" w:lineRule="exact"/>
        <w:rPr>
          <w:rFonts w:ascii="Arial" w:cs="Arial" w:eastAsia="Arial" w:hAnsi="Arial"/>
          <w:sz w:val="16"/>
          <w:szCs w:val="16"/>
          <w:color w:val="005BA5"/>
        </w:rPr>
      </w:pPr>
    </w:p>
    <w:p>
      <w:pPr>
        <w:jc w:val="both"/>
        <w:ind w:left="340" w:right="540" w:hanging="251"/>
        <w:spacing w:after="0" w:line="261" w:lineRule="auto"/>
        <w:tabs>
          <w:tab w:leader="none" w:pos="340" w:val="left"/>
        </w:tabs>
        <w:numPr>
          <w:ilvl w:val="0"/>
          <w:numId w:val="56"/>
        </w:numPr>
        <w:rPr>
          <w:rFonts w:ascii="Arial" w:cs="Arial" w:eastAsia="Arial" w:hAnsi="Arial"/>
          <w:sz w:val="16"/>
          <w:szCs w:val="16"/>
          <w:color w:val="005BA5"/>
        </w:rPr>
      </w:pPr>
      <w:r>
        <w:rPr>
          <w:rFonts w:ascii="Arial" w:cs="Arial" w:eastAsia="Arial" w:hAnsi="Arial"/>
          <w:sz w:val="16"/>
          <w:szCs w:val="16"/>
          <w:color w:val="auto"/>
        </w:rPr>
        <w:t>0.4 point increase in the renewal ratio in the first quarter of 2019 compared to the same period of 2018, primarily due to improved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237" w:right="300" w:hanging="237"/>
        <w:spacing w:after="0" w:line="275" w:lineRule="auto"/>
        <w:tabs>
          <w:tab w:leader="none" w:pos="237" w:val="left"/>
        </w:tabs>
        <w:numPr>
          <w:ilvl w:val="0"/>
          <w:numId w:val="57"/>
        </w:numPr>
        <w:rPr>
          <w:rFonts w:ascii="Arial" w:cs="Arial" w:eastAsia="Arial" w:hAnsi="Arial"/>
          <w:sz w:val="16"/>
          <w:szCs w:val="16"/>
          <w:color w:val="005BA5"/>
        </w:rPr>
      </w:pPr>
      <w:r>
        <w:rPr>
          <w:rFonts w:ascii="Arial" w:cs="Arial" w:eastAsia="Arial" w:hAnsi="Arial"/>
          <w:sz w:val="16"/>
          <w:szCs w:val="16"/>
          <w:color w:val="auto"/>
        </w:rPr>
        <w:t>13.9% increase in new issued applications in the first quarter of 2019 compared to the same period of 2018.</w:t>
      </w:r>
    </w:p>
    <w:p>
      <w:pPr>
        <w:spacing w:after="0" w:line="64" w:lineRule="exact"/>
        <w:rPr>
          <w:rFonts w:ascii="Arial" w:cs="Arial" w:eastAsia="Arial" w:hAnsi="Arial"/>
          <w:sz w:val="16"/>
          <w:szCs w:val="16"/>
          <w:color w:val="005BA5"/>
        </w:rPr>
      </w:pPr>
    </w:p>
    <w:p>
      <w:pPr>
        <w:ind w:left="237" w:right="60" w:hanging="237"/>
        <w:spacing w:after="0" w:line="261" w:lineRule="auto"/>
        <w:tabs>
          <w:tab w:leader="none" w:pos="237" w:val="left"/>
        </w:tabs>
        <w:numPr>
          <w:ilvl w:val="0"/>
          <w:numId w:val="57"/>
        </w:numPr>
        <w:rPr>
          <w:rFonts w:ascii="Arial" w:cs="Arial" w:eastAsia="Arial" w:hAnsi="Arial"/>
          <w:sz w:val="16"/>
          <w:szCs w:val="16"/>
          <w:color w:val="005BA5"/>
        </w:rPr>
      </w:pPr>
      <w:r>
        <w:rPr>
          <w:rFonts w:ascii="Arial" w:cs="Arial" w:eastAsia="Arial" w:hAnsi="Arial"/>
          <w:sz w:val="16"/>
          <w:szCs w:val="16"/>
          <w:color w:val="auto"/>
        </w:rPr>
        <w:t>3.3% increase in average premium in the first quarter of 2019 compared to the same period of 2018, primarily due to rate changes approved in 2018 and changes in business mix.</w:t>
      </w:r>
    </w:p>
    <w:p>
      <w:pPr>
        <w:spacing w:after="0" w:line="875" w:lineRule="exact"/>
        <w:rPr>
          <w:sz w:val="20"/>
          <w:szCs w:val="20"/>
          <w:color w:val="auto"/>
        </w:rPr>
      </w:pPr>
    </w:p>
    <w:p>
      <w:pPr>
        <w:sectPr>
          <w:pgSz w:w="11900" w:h="16838" w:orient="portrait"/>
          <w:cols w:equalWidth="0" w:num="2">
            <w:col w:w="5440" w:space="583"/>
            <w:col w:w="5397"/>
          </w:cols>
          <w:pgMar w:left="240" w:top="141" w:right="239" w:bottom="1440" w:gutter="0" w:footer="0" w:header="0"/>
          <w:type w:val="continuous"/>
        </w:sectPr>
      </w:pP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Homeowners premium measures and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5"/>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r>
      <w:tr>
        <w:trPr>
          <w:trHeight w:val="270"/>
        </w:trPr>
        <w:tc>
          <w:tcPr>
            <w:tcW w:w="8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5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PIF (thousands)</w:t>
            </w:r>
          </w:p>
        </w:tc>
        <w:tc>
          <w:tcPr>
            <w:tcW w:w="88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New issued applications (thousands)</w:t>
            </w:r>
          </w:p>
        </w:tc>
        <w:tc>
          <w:tcPr>
            <w:tcW w:w="88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Average premium</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1,016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970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Renewal ratio (%) </w:t>
            </w:r>
            <w:r>
              <w:rPr>
                <w:rFonts w:ascii="Arial" w:cs="Arial" w:eastAsia="Arial" w:hAnsi="Arial"/>
                <w:sz w:val="27"/>
                <w:szCs w:val="27"/>
                <w:color w:val="005BA5"/>
                <w:vertAlign w:val="superscript"/>
              </w:rPr>
              <w:t>(1)</w:t>
            </w:r>
          </w:p>
        </w:tc>
        <w:tc>
          <w:tcPr>
            <w:tcW w:w="120" w:type="dxa"/>
            <w:vAlign w:val="bottom"/>
          </w:tcPr>
          <w:p>
            <w:pPr>
              <w:spacing w:after="0"/>
              <w:rPr>
                <w:sz w:val="21"/>
                <w:szCs w:val="21"/>
                <w:color w:val="auto"/>
              </w:rPr>
            </w:pPr>
          </w:p>
        </w:tc>
        <w:tc>
          <w:tcPr>
            <w:tcW w:w="8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84.8</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84.4</w:t>
            </w:r>
          </w:p>
        </w:tc>
      </w:tr>
      <w:tr>
        <w:trPr>
          <w:trHeight w:val="264"/>
        </w:trPr>
        <w:tc>
          <w:tcPr>
            <w:tcW w:w="8460" w:type="dxa"/>
            <w:vAlign w:val="bottom"/>
            <w:tcBorders>
              <w:bottom w:val="single" w:sz="8" w:color="ACACAC"/>
            </w:tcBorders>
          </w:tcPr>
          <w:p>
            <w:pPr>
              <w:ind w:left="40"/>
              <w:spacing w:after="0" w:line="263" w:lineRule="exact"/>
              <w:rPr>
                <w:sz w:val="20"/>
                <w:szCs w:val="20"/>
                <w:color w:val="auto"/>
              </w:rPr>
            </w:pPr>
            <w:r>
              <w:rPr>
                <w:rFonts w:ascii="Arial" w:cs="Arial" w:eastAsia="Arial" w:hAnsi="Arial"/>
                <w:sz w:val="16"/>
                <w:szCs w:val="16"/>
                <w:color w:val="auto"/>
              </w:rPr>
              <w:t xml:space="preserve">Approved rate changes </w:t>
            </w:r>
            <w:r>
              <w:rPr>
                <w:rFonts w:ascii="Arial" w:cs="Arial" w:eastAsia="Arial" w:hAnsi="Arial"/>
                <w:sz w:val="27"/>
                <w:szCs w:val="27"/>
                <w:color w:val="005BA5"/>
                <w:vertAlign w:val="superscript"/>
              </w:rPr>
              <w:t>(2)</w:t>
            </w:r>
            <w:r>
              <w:rPr>
                <w:rFonts w:ascii="Arial" w:cs="Arial" w:eastAsia="Arial" w:hAnsi="Arial"/>
                <w:sz w:val="16"/>
                <w:szCs w:val="16"/>
                <w:color w:val="auto"/>
              </w:rPr>
              <w:t xml:space="preserve"> :</w:t>
            </w:r>
          </w:p>
        </w:tc>
        <w:tc>
          <w:tcPr>
            <w:tcW w:w="120" w:type="dxa"/>
            <w:vAlign w:val="bottom"/>
          </w:tcPr>
          <w:p>
            <w:pPr>
              <w:spacing w:after="0"/>
              <w:rPr>
                <w:sz w:val="22"/>
                <w:szCs w:val="22"/>
                <w:color w:val="auto"/>
              </w:rPr>
            </w:pPr>
          </w:p>
        </w:tc>
        <w:tc>
          <w:tcPr>
            <w:tcW w:w="880" w:type="dxa"/>
            <w:vAlign w:val="bottom"/>
            <w:tcBorders>
              <w:bottom w:val="single" w:sz="8" w:color="ACACAC"/>
            </w:tcBorders>
          </w:tcPr>
          <w:p>
            <w:pPr>
              <w:spacing w:after="0"/>
              <w:rPr>
                <w:sz w:val="22"/>
                <w:szCs w:val="22"/>
                <w:color w:val="auto"/>
              </w:rPr>
            </w:pPr>
          </w:p>
        </w:tc>
        <w:tc>
          <w:tcPr>
            <w:tcW w:w="500" w:type="dxa"/>
            <w:vAlign w:val="bottom"/>
            <w:tcBorders>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CACAC"/>
            </w:tcBorders>
          </w:tcPr>
          <w:p>
            <w:pPr>
              <w:spacing w:after="0"/>
              <w:rPr>
                <w:sz w:val="22"/>
                <w:szCs w:val="22"/>
                <w:color w:val="auto"/>
              </w:rPr>
            </w:pPr>
          </w:p>
        </w:tc>
        <w:tc>
          <w:tcPr>
            <w:tcW w:w="1040" w:type="dxa"/>
            <w:vAlign w:val="bottom"/>
            <w:tcBorders>
              <w:bottom w:val="single" w:sz="8" w:color="ACACAC"/>
            </w:tcBorders>
          </w:tcPr>
          <w:p>
            <w:pPr>
              <w:spacing w:after="0"/>
              <w:rPr>
                <w:sz w:val="22"/>
                <w:szCs w:val="22"/>
                <w:color w:val="auto"/>
              </w:rPr>
            </w:pPr>
          </w:p>
        </w:tc>
      </w:tr>
      <w:tr>
        <w:trPr>
          <w:trHeight w:val="250"/>
        </w:trPr>
        <w:tc>
          <w:tcPr>
            <w:tcW w:w="8460" w:type="dxa"/>
            <w:vAlign w:val="bottom"/>
            <w:tcBorders>
              <w:bottom w:val="single" w:sz="8" w:color="ACACAC"/>
            </w:tcBorders>
          </w:tcPr>
          <w:p>
            <w:pPr>
              <w:ind w:left="180"/>
              <w:spacing w:after="0" w:line="250" w:lineRule="exact"/>
              <w:rPr>
                <w:sz w:val="20"/>
                <w:szCs w:val="20"/>
                <w:color w:val="auto"/>
              </w:rPr>
            </w:pPr>
            <w:r>
              <w:rPr>
                <w:rFonts w:ascii="Arial" w:cs="Arial" w:eastAsia="Arial" w:hAnsi="Arial"/>
                <w:sz w:val="16"/>
                <w:szCs w:val="16"/>
                <w:color w:val="auto"/>
              </w:rPr>
              <w:t xml:space="preserve">Number of locations </w:t>
            </w:r>
            <w:r>
              <w:rPr>
                <w:rFonts w:ascii="Arial" w:cs="Arial" w:eastAsia="Arial" w:hAnsi="Arial"/>
                <w:sz w:val="27"/>
                <w:szCs w:val="27"/>
                <w:color w:val="005BA5"/>
                <w:vertAlign w:val="superscript"/>
              </w:rPr>
              <w:t>(3)</w:t>
            </w:r>
          </w:p>
        </w:tc>
        <w:tc>
          <w:tcPr>
            <w:tcW w:w="120" w:type="dxa"/>
            <w:vAlign w:val="bottom"/>
          </w:tcPr>
          <w:p>
            <w:pPr>
              <w:spacing w:after="0"/>
              <w:rPr>
                <w:sz w:val="21"/>
                <w:szCs w:val="21"/>
                <w:color w:val="auto"/>
              </w:rPr>
            </w:pPr>
          </w:p>
        </w:tc>
        <w:tc>
          <w:tcPr>
            <w:tcW w:w="880" w:type="dxa"/>
            <w:vAlign w:val="bottom"/>
            <w:tcBorders>
              <w:bottom w:val="single" w:sz="8" w:color="ACACAC"/>
            </w:tcBorders>
          </w:tcPr>
          <w:p>
            <w:pPr>
              <w:spacing w:after="0"/>
              <w:rPr>
                <w:sz w:val="21"/>
                <w:szCs w:val="21"/>
                <w:color w:val="auto"/>
              </w:rPr>
            </w:pPr>
          </w:p>
        </w:tc>
        <w:tc>
          <w:tcPr>
            <w:tcW w:w="50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5</w:t>
            </w: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Total brand (%)</w:t>
            </w:r>
          </w:p>
        </w:tc>
        <w:tc>
          <w:tcPr>
            <w:tcW w:w="88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3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 xml:space="preserve">Location specific (%) </w:t>
            </w:r>
            <w:r>
              <w:rPr>
                <w:rFonts w:ascii="Arial" w:cs="Arial" w:eastAsia="Arial" w:hAnsi="Arial"/>
                <w:sz w:val="27"/>
                <w:szCs w:val="27"/>
                <w:color w:val="005BA5"/>
                <w:vertAlign w:val="superscript"/>
              </w:rPr>
              <w:t>(4)</w:t>
            </w:r>
          </w:p>
        </w:tc>
        <w:tc>
          <w:tcPr>
            <w:tcW w:w="880" w:type="dxa"/>
            <w:vAlign w:val="bottom"/>
          </w:tcPr>
          <w:p>
            <w:pPr>
              <w:spacing w:after="0"/>
              <w:rPr>
                <w:sz w:val="24"/>
                <w:szCs w:val="24"/>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right="380" w:hanging="191"/>
        <w:spacing w:after="0" w:line="188" w:lineRule="auto"/>
        <w:tabs>
          <w:tab w:leader="none" w:pos="280" w:val="left"/>
        </w:tabs>
        <w:numPr>
          <w:ilvl w:val="0"/>
          <w:numId w:val="58"/>
        </w:numPr>
        <w:rPr>
          <w:rFonts w:ascii="Arial" w:cs="Arial" w:eastAsia="Arial" w:hAnsi="Arial"/>
          <w:sz w:val="23"/>
          <w:szCs w:val="23"/>
          <w:color w:val="005BA5"/>
          <w:vertAlign w:val="superscript"/>
        </w:rPr>
      </w:pPr>
      <w:r>
        <w:rPr>
          <w:rFonts w:ascii="Arial" w:cs="Arial" w:eastAsia="Arial" w:hAnsi="Arial"/>
          <w:sz w:val="14"/>
          <w:szCs w:val="14"/>
          <w:color w:val="auto"/>
        </w:rPr>
        <w:t>Esurance’s renewal ratios exclude the impact of risk related cancellations. Customers can enter into a policy without a physical inspection. During the underwriting review period, a number of policies may be canceled if upon inspection the condition is unsatisfactory.</w:t>
      </w:r>
    </w:p>
    <w:p>
      <w:pPr>
        <w:spacing w:after="0" w:line="1" w:lineRule="exact"/>
        <w:rPr>
          <w:rFonts w:ascii="Arial" w:cs="Arial" w:eastAsia="Arial" w:hAnsi="Arial"/>
          <w:sz w:val="23"/>
          <w:szCs w:val="23"/>
          <w:color w:val="005BA5"/>
          <w:vertAlign w:val="superscript"/>
        </w:rPr>
      </w:pPr>
    </w:p>
    <w:p>
      <w:pPr>
        <w:ind w:left="280" w:hanging="191"/>
        <w:spacing w:after="0" w:line="196" w:lineRule="auto"/>
        <w:tabs>
          <w:tab w:leader="none" w:pos="280" w:val="left"/>
        </w:tabs>
        <w:numPr>
          <w:ilvl w:val="0"/>
          <w:numId w:val="58"/>
        </w:numPr>
        <w:rPr>
          <w:rFonts w:ascii="Arial" w:cs="Arial" w:eastAsia="Arial" w:hAnsi="Arial"/>
          <w:sz w:val="23"/>
          <w:szCs w:val="23"/>
          <w:color w:val="005BA5"/>
          <w:vertAlign w:val="superscript"/>
        </w:rPr>
      </w:pPr>
      <w:r>
        <w:rPr>
          <w:rFonts w:ascii="Arial" w:cs="Arial" w:eastAsia="Arial" w:hAnsi="Arial"/>
          <w:sz w:val="14"/>
          <w:szCs w:val="14"/>
          <w:color w:val="auto"/>
        </w:rPr>
        <w:t>Includes rate changes approved based on our net cost of reinsurance.</w:t>
      </w:r>
    </w:p>
    <w:p>
      <w:pPr>
        <w:spacing w:after="0" w:line="43" w:lineRule="exact"/>
        <w:rPr>
          <w:rFonts w:ascii="Arial" w:cs="Arial" w:eastAsia="Arial" w:hAnsi="Arial"/>
          <w:sz w:val="23"/>
          <w:szCs w:val="23"/>
          <w:color w:val="005BA5"/>
          <w:vertAlign w:val="superscript"/>
        </w:rPr>
      </w:pPr>
    </w:p>
    <w:p>
      <w:pPr>
        <w:ind w:left="280" w:hanging="191"/>
        <w:spacing w:after="0" w:line="199" w:lineRule="auto"/>
        <w:tabs>
          <w:tab w:leader="none" w:pos="280" w:val="left"/>
        </w:tabs>
        <w:numPr>
          <w:ilvl w:val="0"/>
          <w:numId w:val="58"/>
        </w:numPr>
        <w:rPr>
          <w:rFonts w:ascii="Arial" w:cs="Arial" w:eastAsia="Arial" w:hAnsi="Arial"/>
          <w:sz w:val="18"/>
          <w:szCs w:val="18"/>
          <w:color w:val="005BA5"/>
          <w:vertAlign w:val="superscript"/>
        </w:rPr>
      </w:pPr>
      <w:r>
        <w:rPr>
          <w:rFonts w:ascii="Arial" w:cs="Arial" w:eastAsia="Arial" w:hAnsi="Arial"/>
          <w:sz w:val="12"/>
          <w:szCs w:val="12"/>
          <w:color w:val="auto"/>
        </w:rPr>
        <w:t>Esurance brand operates in 31 states. In the second quarter of 2018, Esurance discontinued its operations in Canada.</w:t>
      </w:r>
    </w:p>
    <w:p>
      <w:pPr>
        <w:spacing w:after="0" w:line="57" w:lineRule="exact"/>
        <w:rPr>
          <w:rFonts w:ascii="Arial" w:cs="Arial" w:eastAsia="Arial" w:hAnsi="Arial"/>
          <w:sz w:val="18"/>
          <w:szCs w:val="18"/>
          <w:color w:val="005BA5"/>
          <w:vertAlign w:val="superscript"/>
        </w:rPr>
      </w:pPr>
    </w:p>
    <w:p>
      <w:pPr>
        <w:ind w:left="280" w:right="160" w:hanging="191"/>
        <w:spacing w:after="0" w:line="201" w:lineRule="auto"/>
        <w:tabs>
          <w:tab w:leader="none" w:pos="280" w:val="left"/>
        </w:tabs>
        <w:numPr>
          <w:ilvl w:val="0"/>
          <w:numId w:val="58"/>
        </w:numPr>
        <w:rPr>
          <w:rFonts w:ascii="Arial" w:cs="Arial" w:eastAsia="Arial" w:hAnsi="Arial"/>
          <w:sz w:val="23"/>
          <w:szCs w:val="23"/>
          <w:color w:val="005BA5"/>
          <w:vertAlign w:val="superscript"/>
        </w:rPr>
      </w:pPr>
      <w:r>
        <w:rPr>
          <w:rFonts w:ascii="Arial" w:cs="Arial" w:eastAsia="Arial" w:hAnsi="Arial"/>
          <w:sz w:val="14"/>
          <w:szCs w:val="14"/>
          <w:color w:val="auto"/>
        </w:rPr>
        <w:t xml:space="preserve">Based on historical premiums written in the locations noted above, the annual impact of rate changes approved for homeowners totaled $2 million in the three months ended March 31, 2019 compared to $1 million in the three months ended </w:t>
      </w:r>
      <w:r>
        <w:rPr>
          <w:rFonts w:ascii="Arial" w:cs="Arial" w:eastAsia="Arial" w:hAnsi="Arial"/>
          <w:sz w:val="15"/>
          <w:szCs w:val="15"/>
          <w:color w:val="auto"/>
        </w:rPr>
        <w:t>March 31, 2018</w:t>
      </w:r>
      <w:r>
        <w:rPr>
          <w:rFonts w:ascii="Arial" w:cs="Arial" w:eastAsia="Arial" w:hAnsi="Arial"/>
          <w:sz w:val="14"/>
          <w:szCs w:val="14"/>
          <w:color w:val="auto"/>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720" w:type="dxa"/>
            <w:vAlign w:val="bottom"/>
          </w:tcPr>
          <w:p>
            <w:pPr>
              <w:ind w:left="340"/>
              <w:spacing w:after="0"/>
              <w:rPr>
                <w:sz w:val="20"/>
                <w:szCs w:val="20"/>
                <w:color w:val="auto"/>
              </w:rPr>
            </w:pPr>
            <w:r>
              <w:rPr>
                <w:rFonts w:ascii="Arial" w:cs="Arial" w:eastAsia="Arial" w:hAnsi="Arial"/>
                <w:sz w:val="16"/>
                <w:szCs w:val="16"/>
                <w:i w:val="1"/>
                <w:iCs w:val="1"/>
                <w:color w:val="1666AF"/>
              </w:rPr>
              <w:t xml:space="preserve">Homeowners insurance premiums written </w:t>
            </w:r>
            <w:r>
              <w:rPr>
                <w:rFonts w:ascii="Arial" w:cs="Arial" w:eastAsia="Arial" w:hAnsi="Arial"/>
                <w:sz w:val="16"/>
                <w:szCs w:val="16"/>
                <w:color w:val="000000"/>
              </w:rPr>
              <w:t>totaled $25 million in the first</w:t>
            </w:r>
          </w:p>
        </w:tc>
        <w:tc>
          <w:tcPr>
            <w:tcW w:w="5660" w:type="dxa"/>
            <w:vAlign w:val="bottom"/>
          </w:tcPr>
          <w:p>
            <w:pPr>
              <w:ind w:left="300"/>
              <w:spacing w:after="0"/>
              <w:rPr>
                <w:sz w:val="20"/>
                <w:szCs w:val="20"/>
                <w:color w:val="auto"/>
              </w:rPr>
            </w:pPr>
            <w:r>
              <w:rPr>
                <w:rFonts w:ascii="Arial" w:cs="Arial" w:eastAsia="Arial" w:hAnsi="Arial"/>
                <w:sz w:val="16"/>
                <w:szCs w:val="16"/>
                <w:color w:val="1666AF"/>
              </w:rPr>
              <w:t xml:space="preserve">•  </w:t>
            </w:r>
            <w:r>
              <w:rPr>
                <w:rFonts w:ascii="Arial" w:cs="Arial" w:eastAsia="Arial" w:hAnsi="Arial"/>
                <w:sz w:val="16"/>
                <w:szCs w:val="16"/>
                <w:color w:val="000000"/>
              </w:rPr>
              <w:t>4.7%</w:t>
            </w:r>
            <w:r>
              <w:rPr>
                <w:rFonts w:ascii="Arial" w:cs="Arial" w:eastAsia="Arial" w:hAnsi="Arial"/>
                <w:sz w:val="16"/>
                <w:szCs w:val="16"/>
                <w:color w:val="1666AF"/>
              </w:rPr>
              <w:t xml:space="preserve"> </w:t>
            </w:r>
            <w:r>
              <w:rPr>
                <w:rFonts w:ascii="Arial" w:cs="Arial" w:eastAsia="Arial" w:hAnsi="Arial"/>
                <w:sz w:val="16"/>
                <w:szCs w:val="16"/>
                <w:color w:val="000000"/>
              </w:rPr>
              <w:t>increase in average premium in the</w:t>
            </w:r>
            <w:r>
              <w:rPr>
                <w:rFonts w:ascii="Arial" w:cs="Arial" w:eastAsia="Arial" w:hAnsi="Arial"/>
                <w:sz w:val="16"/>
                <w:szCs w:val="16"/>
                <w:color w:val="1666AF"/>
              </w:rPr>
              <w:t xml:space="preserve"> </w:t>
            </w:r>
            <w:r>
              <w:rPr>
                <w:rFonts w:ascii="Arial" w:cs="Arial" w:eastAsia="Arial" w:hAnsi="Arial"/>
                <w:sz w:val="16"/>
                <w:szCs w:val="16"/>
                <w:color w:val="000000"/>
              </w:rPr>
              <w:t>first</w:t>
            </w:r>
            <w:r>
              <w:rPr>
                <w:rFonts w:ascii="Arial" w:cs="Arial" w:eastAsia="Arial" w:hAnsi="Arial"/>
                <w:sz w:val="16"/>
                <w:szCs w:val="16"/>
                <w:color w:val="1666AF"/>
              </w:rPr>
              <w:t xml:space="preserve"> </w:t>
            </w:r>
            <w:r>
              <w:rPr>
                <w:rFonts w:ascii="Arial" w:cs="Arial" w:eastAsia="Arial" w:hAnsi="Arial"/>
                <w:sz w:val="16"/>
                <w:szCs w:val="16"/>
                <w:color w:val="000000"/>
              </w:rPr>
              <w:t>quarter of</w:t>
            </w:r>
            <w:r>
              <w:rPr>
                <w:rFonts w:ascii="Arial" w:cs="Arial" w:eastAsia="Arial" w:hAnsi="Arial"/>
                <w:sz w:val="16"/>
                <w:szCs w:val="16"/>
                <w:color w:val="1666AF"/>
              </w:rPr>
              <w:t xml:space="preserve"> </w:t>
            </w:r>
            <w:r>
              <w:rPr>
                <w:rFonts w:ascii="Arial" w:cs="Arial" w:eastAsia="Arial" w:hAnsi="Arial"/>
                <w:sz w:val="16"/>
                <w:szCs w:val="16"/>
                <w:color w:val="000000"/>
              </w:rPr>
              <w:t>2019</w:t>
            </w:r>
            <w:r>
              <w:rPr>
                <w:rFonts w:ascii="Arial" w:cs="Arial" w:eastAsia="Arial" w:hAnsi="Arial"/>
                <w:sz w:val="16"/>
                <w:szCs w:val="16"/>
                <w:color w:val="1666AF"/>
              </w:rPr>
              <w:t xml:space="preserve"> </w:t>
            </w:r>
            <w:r>
              <w:rPr>
                <w:rFonts w:ascii="Arial" w:cs="Arial" w:eastAsia="Arial" w:hAnsi="Arial"/>
                <w:sz w:val="16"/>
                <w:szCs w:val="16"/>
                <w:color w:val="000000"/>
              </w:rPr>
              <w:t>compared</w:t>
            </w:r>
          </w:p>
        </w:tc>
        <w:tc>
          <w:tcPr>
            <w:tcW w:w="0" w:type="dxa"/>
            <w:vAlign w:val="bottom"/>
          </w:tcPr>
          <w:p>
            <w:pPr>
              <w:spacing w:after="0"/>
              <w:rPr>
                <w:sz w:val="1"/>
                <w:szCs w:val="1"/>
                <w:color w:val="auto"/>
              </w:rPr>
            </w:pPr>
          </w:p>
        </w:tc>
      </w:tr>
      <w:tr>
        <w:trPr>
          <w:trHeight w:val="201"/>
        </w:trPr>
        <w:tc>
          <w:tcPr>
            <w:tcW w:w="5720" w:type="dxa"/>
            <w:vAlign w:val="bottom"/>
          </w:tcPr>
          <w:p>
            <w:pPr>
              <w:spacing w:after="0"/>
              <w:rPr>
                <w:sz w:val="20"/>
                <w:szCs w:val="20"/>
                <w:color w:val="auto"/>
              </w:rPr>
            </w:pPr>
            <w:r>
              <w:rPr>
                <w:rFonts w:ascii="Arial" w:cs="Arial" w:eastAsia="Arial" w:hAnsi="Arial"/>
                <w:sz w:val="16"/>
                <w:szCs w:val="16"/>
                <w:color w:val="auto"/>
              </w:rPr>
              <w:t>quarter of 2019, a 19.0% increase from $21 million in the first quarter of</w:t>
            </w:r>
          </w:p>
        </w:tc>
        <w:tc>
          <w:tcPr>
            <w:tcW w:w="5660" w:type="dxa"/>
            <w:vAlign w:val="bottom"/>
          </w:tcPr>
          <w:p>
            <w:pPr>
              <w:ind w:left="540"/>
              <w:spacing w:after="0"/>
              <w:rPr>
                <w:sz w:val="20"/>
                <w:szCs w:val="20"/>
                <w:color w:val="auto"/>
              </w:rPr>
            </w:pPr>
            <w:r>
              <w:rPr>
                <w:rFonts w:ascii="Arial" w:cs="Arial" w:eastAsia="Arial" w:hAnsi="Arial"/>
                <w:sz w:val="16"/>
                <w:szCs w:val="16"/>
                <w:color w:val="auto"/>
              </w:rPr>
              <w:t>to the same period of 2018, primarily due to rate increases. As of March</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6"/>
                <w:szCs w:val="16"/>
                <w:color w:val="auto"/>
              </w:rPr>
              <w:t>2018. Factors impacting premiums written were:</w:t>
            </w:r>
          </w:p>
        </w:tc>
        <w:tc>
          <w:tcPr>
            <w:tcW w:w="5660" w:type="dxa"/>
            <w:vAlign w:val="bottom"/>
          </w:tcPr>
          <w:p>
            <w:pPr>
              <w:ind w:left="540"/>
              <w:spacing w:after="0"/>
              <w:rPr>
                <w:sz w:val="20"/>
                <w:szCs w:val="20"/>
                <w:color w:val="auto"/>
              </w:rPr>
            </w:pPr>
            <w:r>
              <w:rPr>
                <w:rFonts w:ascii="Arial" w:cs="Arial" w:eastAsia="Arial" w:hAnsi="Arial"/>
                <w:sz w:val="16"/>
                <w:szCs w:val="16"/>
                <w:color w:val="auto"/>
              </w:rPr>
              <w:t>31, 2019, Esurance continues to write homeowners insurance in 31</w:t>
            </w:r>
          </w:p>
        </w:tc>
        <w:tc>
          <w:tcPr>
            <w:tcW w:w="0" w:type="dxa"/>
            <w:vAlign w:val="bottom"/>
          </w:tcPr>
          <w:p>
            <w:pPr>
              <w:spacing w:after="0"/>
              <w:rPr>
                <w:sz w:val="1"/>
                <w:szCs w:val="1"/>
                <w:color w:val="auto"/>
              </w:rPr>
            </w:pPr>
          </w:p>
        </w:tc>
      </w:tr>
      <w:tr>
        <w:trPr>
          <w:trHeight w:val="189"/>
        </w:trPr>
        <w:tc>
          <w:tcPr>
            <w:tcW w:w="5720" w:type="dxa"/>
            <w:vAlign w:val="bottom"/>
            <w:vMerge w:val="restart"/>
          </w:tcPr>
          <w:p>
            <w:pPr>
              <w:ind w:left="80"/>
              <w:spacing w:after="0"/>
              <w:rPr>
                <w:sz w:val="20"/>
                <w:szCs w:val="20"/>
                <w:color w:val="auto"/>
              </w:rPr>
            </w:pPr>
            <w:r>
              <w:rPr>
                <w:rFonts w:ascii="Arial" w:cs="Arial" w:eastAsia="Arial" w:hAnsi="Arial"/>
                <w:sz w:val="16"/>
                <w:szCs w:val="16"/>
                <w:color w:val="005BA5"/>
              </w:rPr>
              <w:t xml:space="preserve">•  </w:t>
            </w:r>
            <w:r>
              <w:rPr>
                <w:rFonts w:ascii="Arial" w:cs="Arial" w:eastAsia="Arial" w:hAnsi="Arial"/>
                <w:sz w:val="16"/>
                <w:szCs w:val="16"/>
                <w:color w:val="000000"/>
              </w:rPr>
              <w:t>16.7%</w:t>
            </w:r>
            <w:r>
              <w:rPr>
                <w:rFonts w:ascii="Arial" w:cs="Arial" w:eastAsia="Arial" w:hAnsi="Arial"/>
                <w:sz w:val="16"/>
                <w:szCs w:val="16"/>
                <w:color w:val="005BA5"/>
              </w:rPr>
              <w:t xml:space="preserve"> </w:t>
            </w:r>
            <w:r>
              <w:rPr>
                <w:rFonts w:ascii="Arial" w:cs="Arial" w:eastAsia="Arial" w:hAnsi="Arial"/>
                <w:sz w:val="16"/>
                <w:szCs w:val="16"/>
                <w:color w:val="000000"/>
              </w:rPr>
              <w:t>or</w:t>
            </w:r>
            <w:r>
              <w:rPr>
                <w:rFonts w:ascii="Arial" w:cs="Arial" w:eastAsia="Arial" w:hAnsi="Arial"/>
                <w:sz w:val="16"/>
                <w:szCs w:val="16"/>
                <w:color w:val="005BA5"/>
              </w:rPr>
              <w:t xml:space="preserve"> </w:t>
            </w:r>
            <w:r>
              <w:rPr>
                <w:rFonts w:ascii="Arial" w:cs="Arial" w:eastAsia="Arial" w:hAnsi="Arial"/>
                <w:sz w:val="16"/>
                <w:szCs w:val="16"/>
                <w:color w:val="000000"/>
              </w:rPr>
              <w:t>14 thousand</w:t>
            </w:r>
            <w:r>
              <w:rPr>
                <w:rFonts w:ascii="Arial" w:cs="Arial" w:eastAsia="Arial" w:hAnsi="Arial"/>
                <w:sz w:val="16"/>
                <w:szCs w:val="16"/>
                <w:color w:val="005BA5"/>
              </w:rPr>
              <w:t xml:space="preserve"> </w:t>
            </w:r>
            <w:r>
              <w:rPr>
                <w:rFonts w:ascii="Arial" w:cs="Arial" w:eastAsia="Arial" w:hAnsi="Arial"/>
                <w:sz w:val="16"/>
                <w:szCs w:val="16"/>
                <w:color w:val="000000"/>
              </w:rPr>
              <w:t>increase in PIF as of</w:t>
            </w:r>
            <w:r>
              <w:rPr>
                <w:rFonts w:ascii="Arial" w:cs="Arial" w:eastAsia="Arial" w:hAnsi="Arial"/>
                <w:sz w:val="16"/>
                <w:szCs w:val="16"/>
                <w:color w:val="005BA5"/>
              </w:rPr>
              <w:t xml:space="preserve"> </w:t>
            </w:r>
            <w:r>
              <w:rPr>
                <w:rFonts w:ascii="Arial" w:cs="Arial" w:eastAsia="Arial" w:hAnsi="Arial"/>
                <w:sz w:val="16"/>
                <w:szCs w:val="16"/>
                <w:color w:val="000000"/>
              </w:rPr>
              <w:t>March 31, 2019</w:t>
            </w:r>
            <w:r>
              <w:rPr>
                <w:rFonts w:ascii="Arial" w:cs="Arial" w:eastAsia="Arial" w:hAnsi="Arial"/>
                <w:sz w:val="16"/>
                <w:szCs w:val="16"/>
                <w:color w:val="005BA5"/>
              </w:rPr>
              <w:t xml:space="preserve"> </w:t>
            </w:r>
            <w:r>
              <w:rPr>
                <w:rFonts w:ascii="Arial" w:cs="Arial" w:eastAsia="Arial" w:hAnsi="Arial"/>
                <w:sz w:val="16"/>
                <w:szCs w:val="16"/>
                <w:color w:val="000000"/>
              </w:rPr>
              <w:t>compared to</w:t>
            </w:r>
          </w:p>
        </w:tc>
        <w:tc>
          <w:tcPr>
            <w:tcW w:w="5660" w:type="dxa"/>
            <w:vAlign w:val="bottom"/>
          </w:tcPr>
          <w:p>
            <w:pPr>
              <w:ind w:left="540"/>
              <w:spacing w:after="0"/>
              <w:rPr>
                <w:sz w:val="20"/>
                <w:szCs w:val="20"/>
                <w:color w:val="auto"/>
              </w:rPr>
            </w:pPr>
            <w:r>
              <w:rPr>
                <w:rFonts w:ascii="Arial" w:cs="Arial" w:eastAsia="Arial" w:hAnsi="Arial"/>
                <w:sz w:val="16"/>
                <w:szCs w:val="16"/>
                <w:color w:val="auto"/>
              </w:rPr>
              <w:t>states with lower hurricane risk, contributing to lower average premium</w:t>
            </w:r>
          </w:p>
        </w:tc>
        <w:tc>
          <w:tcPr>
            <w:tcW w:w="0" w:type="dxa"/>
            <w:vAlign w:val="bottom"/>
          </w:tcPr>
          <w:p>
            <w:pPr>
              <w:spacing w:after="0"/>
              <w:rPr>
                <w:sz w:val="1"/>
                <w:szCs w:val="1"/>
                <w:color w:val="auto"/>
              </w:rPr>
            </w:pPr>
          </w:p>
        </w:tc>
      </w:tr>
      <w:tr>
        <w:trPr>
          <w:trHeight w:val="96"/>
        </w:trPr>
        <w:tc>
          <w:tcPr>
            <w:tcW w:w="5720" w:type="dxa"/>
            <w:vAlign w:val="bottom"/>
            <w:vMerge w:val="continue"/>
          </w:tcPr>
          <w:p>
            <w:pPr>
              <w:spacing w:after="0"/>
              <w:rPr>
                <w:sz w:val="8"/>
                <w:szCs w:val="8"/>
                <w:color w:val="auto"/>
              </w:rPr>
            </w:pPr>
          </w:p>
        </w:tc>
        <w:tc>
          <w:tcPr>
            <w:tcW w:w="5660" w:type="dxa"/>
            <w:vAlign w:val="bottom"/>
            <w:vMerge w:val="restart"/>
          </w:tcPr>
          <w:p>
            <w:pPr>
              <w:ind w:left="540"/>
              <w:spacing w:after="0"/>
              <w:rPr>
                <w:sz w:val="20"/>
                <w:szCs w:val="20"/>
                <w:color w:val="auto"/>
              </w:rPr>
            </w:pPr>
            <w:r>
              <w:rPr>
                <w:rFonts w:ascii="Arial" w:cs="Arial" w:eastAsia="Arial" w:hAnsi="Arial"/>
                <w:sz w:val="16"/>
                <w:szCs w:val="16"/>
                <w:color w:val="auto"/>
              </w:rPr>
              <w:t>compared to the industry.</w:t>
            </w:r>
          </w:p>
        </w:tc>
        <w:tc>
          <w:tcPr>
            <w:tcW w:w="0" w:type="dxa"/>
            <w:vAlign w:val="bottom"/>
          </w:tcPr>
          <w:p>
            <w:pPr>
              <w:spacing w:after="0"/>
              <w:rPr>
                <w:sz w:val="1"/>
                <w:szCs w:val="1"/>
                <w:color w:val="auto"/>
              </w:rPr>
            </w:pPr>
          </w:p>
        </w:tc>
      </w:tr>
      <w:tr>
        <w:trPr>
          <w:trHeight w:val="98"/>
        </w:trPr>
        <w:tc>
          <w:tcPr>
            <w:tcW w:w="5720" w:type="dxa"/>
            <w:vAlign w:val="bottom"/>
            <w:vMerge w:val="restart"/>
          </w:tcPr>
          <w:p>
            <w:pPr>
              <w:ind w:left="340"/>
              <w:spacing w:after="0"/>
              <w:rPr>
                <w:sz w:val="20"/>
                <w:szCs w:val="20"/>
                <w:color w:val="auto"/>
              </w:rPr>
            </w:pPr>
            <w:r>
              <w:rPr>
                <w:rFonts w:ascii="Arial" w:cs="Arial" w:eastAsia="Arial" w:hAnsi="Arial"/>
                <w:sz w:val="16"/>
                <w:szCs w:val="16"/>
                <w:color w:val="auto"/>
              </w:rPr>
              <w:t>March 31, 2018.</w:t>
            </w:r>
          </w:p>
        </w:tc>
        <w:tc>
          <w:tcPr>
            <w:tcW w:w="5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5720" w:type="dxa"/>
            <w:vAlign w:val="bottom"/>
            <w:vMerge w:val="continue"/>
          </w:tcPr>
          <w:p>
            <w:pPr>
              <w:spacing w:after="0"/>
              <w:rPr>
                <w:sz w:val="9"/>
                <w:szCs w:val="9"/>
                <w:color w:val="auto"/>
              </w:rPr>
            </w:pPr>
          </w:p>
        </w:tc>
        <w:tc>
          <w:tcPr>
            <w:tcW w:w="5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7"/>
        </w:trPr>
        <w:tc>
          <w:tcPr>
            <w:tcW w:w="5720" w:type="dxa"/>
            <w:vAlign w:val="bottom"/>
          </w:tcPr>
          <w:p>
            <w:pPr>
              <w:spacing w:after="0"/>
              <w:rPr>
                <w:sz w:val="20"/>
                <w:szCs w:val="20"/>
                <w:color w:val="auto"/>
              </w:rPr>
            </w:pPr>
            <w:r>
              <w:rPr>
                <w:rFonts w:ascii="Arial" w:cs="Arial" w:eastAsia="Arial" w:hAnsi="Arial"/>
                <w:sz w:val="16"/>
                <w:szCs w:val="16"/>
                <w:color w:val="1666AF"/>
              </w:rPr>
              <w:t xml:space="preserve">66   </w:t>
            </w:r>
            <w:r>
              <w:rPr>
                <w:rFonts w:ascii="Arial" w:cs="Arial" w:eastAsia="Arial" w:hAnsi="Arial"/>
                <w:sz w:val="16"/>
                <w:szCs w:val="16"/>
                <w:color w:val="000000"/>
              </w:rPr>
              <w:t>www.allstate.com</w:t>
            </w:r>
          </w:p>
        </w:tc>
        <w:tc>
          <w:tcPr>
            <w:tcW w:w="5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-141605</wp:posOffset>
            </wp:positionV>
            <wp:extent cx="111760" cy="1117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bookmarkStart w:id="70" w:name="page71"/>
    <w:bookmarkEnd w:id="70"/>
    <w:p>
      <w:pPr>
        <w:ind w:left="7600"/>
        <w:spacing w:after="0"/>
        <w:rPr>
          <w:sz w:val="20"/>
          <w:szCs w:val="20"/>
          <w:color w:val="auto"/>
        </w:rPr>
      </w:pPr>
      <w:r>
        <w:rPr>
          <w:rFonts w:ascii="Arial" w:cs="Arial" w:eastAsia="Arial" w:hAnsi="Arial"/>
          <w:sz w:val="16"/>
          <w:szCs w:val="16"/>
          <w:color w:val="auto"/>
        </w:rPr>
        <w:t xml:space="preserve">Allstate Protection: Esurance brand </w:t>
      </w:r>
      <w:r>
        <w:rPr>
          <w:rFonts w:ascii="Arial" w:cs="Arial" w:eastAsia="Arial" w:hAnsi="Arial"/>
          <w:sz w:val="16"/>
          <w:szCs w:val="16"/>
          <w:color w:val="1666AF"/>
        </w:rPr>
        <w:t>Segment Results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right="443" w:hanging="251"/>
        <w:spacing w:after="0" w:line="275" w:lineRule="auto"/>
        <w:tabs>
          <w:tab w:leader="none" w:pos="340" w:val="left"/>
        </w:tabs>
        <w:numPr>
          <w:ilvl w:val="0"/>
          <w:numId w:val="59"/>
        </w:numPr>
        <w:rPr>
          <w:rFonts w:ascii="Arial" w:cs="Arial" w:eastAsia="Arial" w:hAnsi="Arial"/>
          <w:sz w:val="16"/>
          <w:szCs w:val="16"/>
          <w:color w:val="005BA5"/>
        </w:rPr>
      </w:pPr>
      <w:r>
        <w:rPr>
          <w:rFonts w:ascii="Arial" w:cs="Arial" w:eastAsia="Arial" w:hAnsi="Arial"/>
          <w:sz w:val="16"/>
          <w:szCs w:val="16"/>
          <w:color w:val="auto"/>
        </w:rPr>
        <w:t>0.4 point increase in the renewal ratio in the first quarter of 2019 compared to the same period of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37" w:right="20" w:hanging="237"/>
        <w:spacing w:after="0" w:line="275" w:lineRule="auto"/>
        <w:tabs>
          <w:tab w:leader="none" w:pos="237" w:val="left"/>
        </w:tabs>
        <w:numPr>
          <w:ilvl w:val="0"/>
          <w:numId w:val="60"/>
        </w:numPr>
        <w:rPr>
          <w:rFonts w:ascii="Arial" w:cs="Arial" w:eastAsia="Arial" w:hAnsi="Arial"/>
          <w:sz w:val="16"/>
          <w:szCs w:val="16"/>
          <w:color w:val="1666AF"/>
        </w:rPr>
      </w:pPr>
      <w:r>
        <w:rPr>
          <w:rFonts w:ascii="Arial" w:cs="Arial" w:eastAsia="Arial" w:hAnsi="Arial"/>
          <w:sz w:val="16"/>
          <w:szCs w:val="16"/>
          <w:color w:val="auto"/>
        </w:rPr>
        <w:t>12.5% decrease in new issued applications in the first quarter compared to the same period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321945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3" w:space="720"/>
            <w:col w:w="5397"/>
          </w:cols>
          <w:pgMar w:left="240" w:top="141" w:right="239" w:bottom="1440" w:gutter="0" w:footer="0" w:header="0"/>
          <w:type w:val="continuous"/>
        </w:sect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Combined ratios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3"/>
          </w:tcPr>
          <w:p>
            <w:pPr>
              <w:ind w:left="780"/>
              <w:spacing w:after="0"/>
              <w:rPr>
                <w:sz w:val="20"/>
                <w:szCs w:val="20"/>
                <w:color w:val="auto"/>
              </w:rPr>
            </w:pPr>
            <w:r>
              <w:rPr>
                <w:rFonts w:ascii="Arial" w:cs="Arial" w:eastAsia="Arial" w:hAnsi="Arial"/>
                <w:sz w:val="16"/>
                <w:szCs w:val="16"/>
                <w:b w:val="1"/>
                <w:bCs w:val="1"/>
                <w:color w:val="auto"/>
                <w:w w:val="91"/>
              </w:rPr>
              <w:t>Loss ratio</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4"/>
          </w:tcPr>
          <w:p>
            <w:pPr>
              <w:ind w:left="500"/>
              <w:spacing w:after="0"/>
              <w:rPr>
                <w:sz w:val="20"/>
                <w:szCs w:val="20"/>
                <w:color w:val="auto"/>
              </w:rPr>
            </w:pPr>
            <w:r>
              <w:rPr>
                <w:rFonts w:ascii="Arial" w:cs="Arial" w:eastAsia="Arial" w:hAnsi="Arial"/>
                <w:sz w:val="16"/>
                <w:szCs w:val="16"/>
                <w:b w:val="1"/>
                <w:bCs w:val="1"/>
                <w:color w:val="auto"/>
              </w:rPr>
              <w:t xml:space="preserve">Expense ratio </w:t>
            </w:r>
            <w:r>
              <w:rPr>
                <w:rFonts w:ascii="Arial" w:cs="Arial" w:eastAsia="Arial" w:hAnsi="Arial"/>
                <w:sz w:val="27"/>
                <w:szCs w:val="27"/>
                <w:color w:val="005BA5"/>
                <w:vertAlign w:val="superscript"/>
              </w:rPr>
              <w:t>(1)</w:t>
            </w:r>
          </w:p>
        </w:tc>
        <w:tc>
          <w:tcPr>
            <w:tcW w:w="214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Combined ratio</w:t>
            </w:r>
          </w:p>
        </w:tc>
      </w:t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259"/>
              <w:spacing w:after="0"/>
              <w:rPr>
                <w:sz w:val="20"/>
                <w:szCs w:val="20"/>
                <w:color w:val="auto"/>
              </w:rPr>
            </w:pPr>
            <w:r>
              <w:rPr>
                <w:rFonts w:ascii="Arial" w:cs="Arial" w:eastAsia="Arial" w:hAnsi="Arial"/>
                <w:sz w:val="16"/>
                <w:szCs w:val="16"/>
                <w:b w:val="1"/>
                <w:bCs w:val="1"/>
                <w:color w:val="auto"/>
                <w:w w:val="95"/>
              </w:rPr>
              <w:t>2018</w:t>
            </w:r>
          </w:p>
        </w:tc>
        <w:tc>
          <w:tcPr>
            <w:tcW w:w="140" w:type="dxa"/>
            <w:vAlign w:val="bottom"/>
          </w:tcPr>
          <w:p>
            <w:pPr>
              <w:spacing w:after="0"/>
              <w:rPr>
                <w:sz w:val="18"/>
                <w:szCs w:val="18"/>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75.2</w:t>
            </w: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100.2</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99.8</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90.0</w:t>
            </w:r>
          </w:p>
        </w:tc>
      </w:tr>
      <w:tr>
        <w:trPr>
          <w:trHeight w:val="33"/>
        </w:trPr>
        <w:tc>
          <w:tcPr>
            <w:tcW w:w="45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CACAC"/>
            </w:tcBorders>
          </w:tcPr>
          <w:p>
            <w:pPr>
              <w:spacing w:after="0"/>
              <w:rPr>
                <w:sz w:val="2"/>
                <w:szCs w:val="2"/>
                <w:color w:val="auto"/>
              </w:rPr>
            </w:pPr>
          </w:p>
        </w:tc>
        <w:tc>
          <w:tcPr>
            <w:tcW w:w="7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auto"/>
              </w:rPr>
              <w:t>76.5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rPr>
              <w:t>74.1</w:t>
            </w:r>
          </w:p>
        </w:tc>
        <w:tc>
          <w:tcPr>
            <w:tcW w:w="14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22.9</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25.2</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99.4</w:t>
            </w:r>
          </w:p>
        </w:tc>
        <w:tc>
          <w:tcPr>
            <w:tcW w:w="100" w:type="dxa"/>
            <w:vAlign w:val="bottom"/>
          </w:tcPr>
          <w:p>
            <w:pPr>
              <w:spacing w:after="0"/>
              <w:rPr>
                <w:sz w:val="18"/>
                <w:szCs w:val="18"/>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99.3</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005BA5"/>
            </w:tcBorders>
          </w:tcPr>
          <w:p>
            <w:pPr>
              <w:spacing w:after="0"/>
              <w:rPr>
                <w:sz w:val="2"/>
                <w:szCs w:val="2"/>
                <w:color w:val="auto"/>
              </w:rPr>
            </w:pPr>
          </w:p>
        </w:tc>
        <w:tc>
          <w:tcPr>
            <w:tcW w:w="7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r>
    </w:tbl>
    <w:p>
      <w:pPr>
        <w:spacing w:after="0" w:line="21" w:lineRule="exact"/>
        <w:rPr>
          <w:sz w:val="20"/>
          <w:szCs w:val="20"/>
          <w:color w:val="auto"/>
        </w:rPr>
      </w:pPr>
    </w:p>
    <w:p>
      <w:pPr>
        <w:ind w:left="280" w:hanging="191"/>
        <w:spacing w:after="0"/>
        <w:tabs>
          <w:tab w:leader="none" w:pos="280" w:val="left"/>
        </w:tabs>
        <w:numPr>
          <w:ilvl w:val="0"/>
          <w:numId w:val="61"/>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operating costs and expenses in the expense ratio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Loss ratios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Effect of catastrophe losses</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Effect of prior year reserve</w:t>
            </w: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included in prior year</w:t>
            </w: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660"/>
              <w:spacing w:after="0"/>
              <w:rPr>
                <w:sz w:val="20"/>
                <w:szCs w:val="20"/>
                <w:color w:val="auto"/>
              </w:rPr>
            </w:pPr>
            <w:r>
              <w:rPr>
                <w:rFonts w:ascii="Arial" w:cs="Arial" w:eastAsia="Arial" w:hAnsi="Arial"/>
                <w:sz w:val="16"/>
                <w:szCs w:val="16"/>
                <w:b w:val="1"/>
                <w:bCs w:val="1"/>
                <w:color w:val="auto"/>
                <w:w w:val="86"/>
              </w:rPr>
              <w:t>Loss ratio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Effect of catastrophe losses</w:t>
            </w:r>
          </w:p>
        </w:tc>
        <w:tc>
          <w:tcPr>
            <w:tcW w:w="20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7"/>
              </w:rPr>
              <w:t>reestimates</w:t>
            </w: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reserve reestimates</w:t>
            </w:r>
          </w:p>
        </w:tc>
      </w:tr>
      <w:tr>
        <w:trPr>
          <w:trHeight w:val="270"/>
        </w:trPr>
        <w:tc>
          <w:tcPr>
            <w:tcW w:w="3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3"/>
                <w:szCs w:val="23"/>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3"/>
                <w:szCs w:val="23"/>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3"/>
                <w:szCs w:val="23"/>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3"/>
                <w:szCs w:val="23"/>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r>
      <w:tr>
        <w:trPr>
          <w:trHeight w:val="231"/>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75.2</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90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02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90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76.5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74.1</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0.7</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0.6</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ind w:left="6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ind w:left="620"/>
              <w:spacing w:after="0"/>
              <w:rPr>
                <w:sz w:val="20"/>
                <w:szCs w:val="20"/>
                <w:color w:val="auto"/>
              </w:rPr>
            </w:pPr>
            <w:r>
              <w:rPr>
                <w:rFonts w:ascii="Arial" w:cs="Arial" w:eastAsia="Arial" w:hAnsi="Arial"/>
                <w:sz w:val="16"/>
                <w:szCs w:val="16"/>
                <w:b w:val="1"/>
                <w:bCs w:val="1"/>
                <w:color w:val="auto"/>
              </w:rPr>
              <w:t>—</w:t>
            </w: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r>
    </w:tbl>
    <w:p>
      <w:pPr>
        <w:spacing w:after="0" w:line="94" w:lineRule="exact"/>
        <w:rPr>
          <w:sz w:val="20"/>
          <w:szCs w:val="20"/>
          <w:color w:val="auto"/>
        </w:rPr>
      </w:pPr>
    </w:p>
    <w:p>
      <w:pPr>
        <w:ind w:right="140" w:firstLine="324"/>
        <w:spacing w:after="0" w:line="281" w:lineRule="auto"/>
        <w:rPr>
          <w:sz w:val="20"/>
          <w:szCs w:val="20"/>
          <w:color w:val="auto"/>
        </w:rPr>
      </w:pPr>
      <w:r>
        <w:rPr>
          <w:rFonts w:ascii="Arial" w:cs="Arial" w:eastAsia="Arial" w:hAnsi="Arial"/>
          <w:sz w:val="16"/>
          <w:szCs w:val="16"/>
          <w:i w:val="1"/>
          <w:iCs w:val="1"/>
          <w:color w:val="1666AF"/>
        </w:rPr>
        <w:t xml:space="preserve">Auto loss ratio </w:t>
      </w:r>
      <w:r>
        <w:rPr>
          <w:rFonts w:ascii="Arial" w:cs="Arial" w:eastAsia="Arial" w:hAnsi="Arial"/>
          <w:sz w:val="16"/>
          <w:szCs w:val="16"/>
          <w:color w:val="000000"/>
        </w:rPr>
        <w:t>increased 2.1 points in the first quarter of 2019 compared to the same period of 2018, primarily due to higher claim frequency and severity</w:t>
      </w:r>
      <w:r>
        <w:rPr>
          <w:rFonts w:ascii="Arial" w:cs="Arial" w:eastAsia="Arial" w:hAnsi="Arial"/>
          <w:sz w:val="16"/>
          <w:szCs w:val="16"/>
          <w:i w:val="1"/>
          <w:iCs w:val="1"/>
          <w:color w:val="1666AF"/>
        </w:rPr>
        <w:t xml:space="preserve"> </w:t>
      </w:r>
      <w:r>
        <w:rPr>
          <w:rFonts w:ascii="Arial" w:cs="Arial" w:eastAsia="Arial" w:hAnsi="Arial"/>
          <w:sz w:val="16"/>
          <w:szCs w:val="16"/>
          <w:color w:val="000000"/>
        </w:rPr>
        <w:t>and unfavorable prior year reserve reestimates, partially offset by higher average premium.</w:t>
      </w:r>
    </w:p>
    <w:p>
      <w:pPr>
        <w:spacing w:after="0" w:line="55" w:lineRule="exact"/>
        <w:rPr>
          <w:sz w:val="20"/>
          <w:szCs w:val="20"/>
          <w:color w:val="auto"/>
        </w:rPr>
      </w:pPr>
    </w:p>
    <w:p>
      <w:pPr>
        <w:ind w:right="280" w:firstLine="324"/>
        <w:spacing w:after="0" w:line="281" w:lineRule="auto"/>
        <w:rPr>
          <w:sz w:val="20"/>
          <w:szCs w:val="20"/>
          <w:color w:val="auto"/>
        </w:rPr>
      </w:pPr>
      <w:r>
        <w:rPr>
          <w:rFonts w:ascii="Arial" w:cs="Arial" w:eastAsia="Arial" w:hAnsi="Arial"/>
          <w:sz w:val="16"/>
          <w:szCs w:val="16"/>
          <w:i w:val="1"/>
          <w:iCs w:val="1"/>
          <w:color w:val="1666AF"/>
        </w:rPr>
        <w:t xml:space="preserve">Homeowners loss ratio </w:t>
      </w:r>
      <w:r>
        <w:rPr>
          <w:rFonts w:ascii="Arial" w:cs="Arial" w:eastAsia="Arial" w:hAnsi="Arial"/>
          <w:sz w:val="16"/>
          <w:szCs w:val="16"/>
          <w:color w:val="000000"/>
        </w:rPr>
        <w:t>increased 5.0 points in the first quarter of 2019 compared to the same period of 2018, primarily due to higher claim severity and</w:t>
      </w:r>
      <w:r>
        <w:rPr>
          <w:rFonts w:ascii="Arial" w:cs="Arial" w:eastAsia="Arial" w:hAnsi="Arial"/>
          <w:sz w:val="16"/>
          <w:szCs w:val="16"/>
          <w:i w:val="1"/>
          <w:iCs w:val="1"/>
          <w:color w:val="1666AF"/>
        </w:rPr>
        <w:t xml:space="preserve"> </w:t>
      </w:r>
      <w:r>
        <w:rPr>
          <w:rFonts w:ascii="Arial" w:cs="Arial" w:eastAsia="Arial" w:hAnsi="Arial"/>
          <w:sz w:val="16"/>
          <w:szCs w:val="16"/>
          <w:color w:val="000000"/>
        </w:rPr>
        <w:t>catastrophe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Expense ratios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Homeowners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Total expense ratio </w:t>
      </w:r>
      <w:r>
        <w:rPr>
          <w:rFonts w:ascii="Arial" w:cs="Arial" w:eastAsia="Arial" w:hAnsi="Arial"/>
          <w:sz w:val="22"/>
          <w:szCs w:val="22"/>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6829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52070</wp:posOffset>
            </wp:positionV>
            <wp:extent cx="87503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45085</wp:posOffset>
            </wp:positionV>
            <wp:extent cx="85788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3">
            <w:col w:w="8840" w:space="720"/>
            <w:col w:w="740" w:space="720"/>
            <w:col w:w="400"/>
          </w:cols>
          <w:pgMar w:left="240" w:top="141" w:right="239" w:bottom="1440" w:gutter="0" w:footer="0" w:header="0"/>
          <w:type w:val="continuous"/>
        </w:sectPr>
      </w:pPr>
    </w:p>
    <w:p>
      <w:pPr>
        <w:ind w:left="280" w:hanging="191"/>
        <w:spacing w:after="0"/>
        <w:tabs>
          <w:tab w:leader="none" w:pos="280" w:val="left"/>
        </w:tabs>
        <w:numPr>
          <w:ilvl w:val="0"/>
          <w:numId w:val="62"/>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other costs and expenses in the expense ratio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 of specific costs and expenses on the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00" w:type="dxa"/>
            <w:vAlign w:val="bottom"/>
            <w:gridSpan w:val="3"/>
          </w:tcPr>
          <w:p>
            <w:pPr>
              <w:ind w:left="9120"/>
              <w:spacing w:after="0"/>
              <w:rPr>
                <w:sz w:val="20"/>
                <w:szCs w:val="20"/>
                <w:color w:val="auto"/>
              </w:rPr>
            </w:pPr>
            <w:r>
              <w:rPr>
                <w:rFonts w:ascii="Arial" w:cs="Arial" w:eastAsia="Arial" w:hAnsi="Arial"/>
                <w:sz w:val="16"/>
                <w:szCs w:val="16"/>
                <w:b w:val="1"/>
                <w:bCs w:val="1"/>
                <w:color w:val="auto"/>
              </w:rPr>
              <w:t>2019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005BA5"/>
            </w:tcBorders>
          </w:tcPr>
          <w:p>
            <w:pPr>
              <w:spacing w:after="0"/>
              <w:rPr>
                <w:sz w:val="2"/>
                <w:szCs w:val="2"/>
                <w:color w:val="auto"/>
              </w:rPr>
            </w:pPr>
          </w:p>
        </w:tc>
      </w:tr>
      <w:tr>
        <w:trPr>
          <w:trHeight w:val="217"/>
        </w:trPr>
        <w:tc>
          <w:tcPr>
            <w:tcW w:w="9500" w:type="dxa"/>
            <w:vAlign w:val="bottom"/>
            <w:gridSpan w:val="3"/>
          </w:tcPr>
          <w:p>
            <w:pPr>
              <w:ind w:left="40"/>
              <w:spacing w:after="0"/>
              <w:rPr>
                <w:sz w:val="20"/>
                <w:szCs w:val="20"/>
                <w:color w:val="auto"/>
              </w:rPr>
            </w:pPr>
            <w:r>
              <w:rPr>
                <w:rFonts w:ascii="Arial" w:cs="Arial" w:eastAsia="Arial" w:hAnsi="Arial"/>
                <w:sz w:val="16"/>
                <w:szCs w:val="16"/>
                <w:color w:val="auto"/>
              </w:rPr>
              <w:t>Amortization of DAC</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r>
      <w:tr>
        <w:trPr>
          <w:trHeight w:val="217"/>
        </w:trPr>
        <w:tc>
          <w:tcPr>
            <w:tcW w:w="9500" w:type="dxa"/>
            <w:vAlign w:val="bottom"/>
            <w:gridSpan w:val="3"/>
          </w:tcPr>
          <w:p>
            <w:pPr>
              <w:ind w:left="40"/>
              <w:spacing w:after="0"/>
              <w:rPr>
                <w:sz w:val="20"/>
                <w:szCs w:val="20"/>
                <w:color w:val="auto"/>
              </w:rPr>
            </w:pPr>
            <w:r>
              <w:rPr>
                <w:rFonts w:ascii="Arial" w:cs="Arial" w:eastAsia="Arial" w:hAnsi="Arial"/>
                <w:sz w:val="16"/>
                <w:szCs w:val="16"/>
                <w:color w:val="auto"/>
              </w:rPr>
              <w:t>Advertising expense</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r>
      <w:tr>
        <w:trPr>
          <w:trHeight w:val="217"/>
        </w:trPr>
        <w:tc>
          <w:tcPr>
            <w:tcW w:w="9500" w:type="dxa"/>
            <w:vAlign w:val="bottom"/>
            <w:gridSpan w:val="3"/>
          </w:tcPr>
          <w:p>
            <w:pPr>
              <w:ind w:left="40"/>
              <w:spacing w:after="0"/>
              <w:rPr>
                <w:sz w:val="20"/>
                <w:szCs w:val="20"/>
                <w:color w:val="auto"/>
              </w:rPr>
            </w:pPr>
            <w:r>
              <w:rPr>
                <w:rFonts w:ascii="Arial" w:cs="Arial" w:eastAsia="Arial" w:hAnsi="Arial"/>
                <w:sz w:val="16"/>
                <w:szCs w:val="16"/>
                <w:color w:val="auto"/>
              </w:rPr>
              <w:t>Amortization of purchased intangible assets</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005BA5"/>
            </w:tcBorders>
          </w:tcPr>
          <w:p>
            <w:pPr>
              <w:ind w:left="40"/>
              <w:spacing w:after="0" w:line="250" w:lineRule="exact"/>
              <w:rPr>
                <w:sz w:val="20"/>
                <w:szCs w:val="20"/>
                <w:color w:val="auto"/>
              </w:rPr>
            </w:pPr>
            <w:r>
              <w:rPr>
                <w:rFonts w:ascii="Arial" w:cs="Arial" w:eastAsia="Arial" w:hAnsi="Arial"/>
                <w:sz w:val="16"/>
                <w:szCs w:val="16"/>
                <w:color w:val="auto"/>
              </w:rPr>
              <w:t xml:space="preserve">Other costs and expenses </w:t>
            </w:r>
            <w:r>
              <w:rPr>
                <w:rFonts w:ascii="Arial" w:cs="Arial" w:eastAsia="Arial" w:hAnsi="Arial"/>
                <w:sz w:val="27"/>
                <w:szCs w:val="27"/>
                <w:color w:val="005BA5"/>
                <w:vertAlign w:val="superscript"/>
              </w:rPr>
              <w:t>(1)</w:t>
            </w:r>
          </w:p>
        </w:tc>
        <w:tc>
          <w:tcPr>
            <w:tcW w:w="120" w:type="dxa"/>
            <w:vAlign w:val="bottom"/>
          </w:tcPr>
          <w:p>
            <w:pPr>
              <w:spacing w:after="0"/>
              <w:rPr>
                <w:sz w:val="21"/>
                <w:szCs w:val="21"/>
                <w:color w:val="auto"/>
              </w:rPr>
            </w:pPr>
          </w:p>
        </w:tc>
        <w:tc>
          <w:tcPr>
            <w:tcW w:w="920" w:type="dxa"/>
            <w:vAlign w:val="bottom"/>
            <w:tcBorders>
              <w:bottom w:val="single" w:sz="8" w:color="005BA5"/>
            </w:tcBorders>
          </w:tcPr>
          <w:p>
            <w:pPr>
              <w:spacing w:after="0"/>
              <w:rPr>
                <w:sz w:val="21"/>
                <w:szCs w:val="21"/>
                <w:color w:val="auto"/>
              </w:rPr>
            </w:pPr>
          </w:p>
        </w:tc>
        <w:tc>
          <w:tcPr>
            <w:tcW w:w="460" w:type="dxa"/>
            <w:vAlign w:val="bottom"/>
            <w:tcBorders>
              <w:bottom w:val="single" w:sz="8" w:color="005BA5"/>
            </w:tcBorders>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1"/>
                <w:szCs w:val="21"/>
                <w:color w:val="auto"/>
              </w:rPr>
            </w:pPr>
          </w:p>
        </w:tc>
        <w:tc>
          <w:tcPr>
            <w:tcW w:w="136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14.5</w:t>
            </w:r>
          </w:p>
        </w:tc>
      </w:tr>
      <w:tr>
        <w:trPr>
          <w:trHeight w:val="217"/>
        </w:trPr>
        <w:tc>
          <w:tcPr>
            <w:tcW w:w="950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 expense ratio</w:t>
            </w:r>
          </w:p>
        </w:tc>
        <w:tc>
          <w:tcPr>
            <w:tcW w:w="460" w:type="dxa"/>
            <w:vAlign w:val="bottom"/>
          </w:tcPr>
          <w:p>
            <w:pPr>
              <w:jc w:val="right"/>
              <w:ind w:right="39"/>
              <w:spacing w:after="0"/>
              <w:rPr>
                <w:sz w:val="20"/>
                <w:szCs w:val="20"/>
                <w:color w:val="auto"/>
              </w:rPr>
            </w:pPr>
            <w:r>
              <w:rPr>
                <w:rFonts w:ascii="Arial" w:cs="Arial" w:eastAsia="Arial" w:hAnsi="Arial"/>
                <w:sz w:val="16"/>
                <w:szCs w:val="16"/>
                <w:b w:val="1"/>
                <w:bCs w:val="1"/>
                <w:color w:val="auto"/>
              </w:rPr>
              <w:t>22.9</w:t>
            </w:r>
          </w:p>
        </w:tc>
        <w:tc>
          <w:tcPr>
            <w:tcW w:w="10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25.2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005BA5"/>
            </w:tcBorders>
          </w:tcPr>
          <w:p>
            <w:pPr>
              <w:spacing w:after="0"/>
              <w:rPr>
                <w:sz w:val="2"/>
                <w:szCs w:val="2"/>
                <w:color w:val="auto"/>
              </w:rPr>
            </w:pPr>
          </w:p>
        </w:tc>
      </w:tr>
    </w:tbl>
    <w:p>
      <w:pPr>
        <w:spacing w:after="0" w:line="21" w:lineRule="exact"/>
        <w:rPr>
          <w:sz w:val="20"/>
          <w:szCs w:val="20"/>
          <w:color w:val="auto"/>
        </w:rPr>
      </w:pPr>
    </w:p>
    <w:p>
      <w:pPr>
        <w:ind w:left="280" w:hanging="191"/>
        <w:spacing w:after="0"/>
        <w:tabs>
          <w:tab w:leader="none" w:pos="280" w:val="left"/>
        </w:tabs>
        <w:numPr>
          <w:ilvl w:val="0"/>
          <w:numId w:val="63"/>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other costs and expenses in the expense ratio calculation.</w:t>
      </w:r>
    </w:p>
    <w:p>
      <w:pPr>
        <w:sectPr>
          <w:pgSz w:w="11900" w:h="16838" w:orient="portrait"/>
          <w:cols w:equalWidth="0" w:num="1">
            <w:col w:w="11420"/>
          </w:cols>
          <w:pgMar w:left="240" w:top="141" w:right="239" w:bottom="1440" w:gutter="0" w:footer="0" w:header="0"/>
          <w:type w:val="continuous"/>
        </w:sectPr>
      </w:pPr>
    </w:p>
    <w:p>
      <w:pPr>
        <w:spacing w:after="0" w:line="95"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i w:val="1"/>
          <w:iCs w:val="1"/>
          <w:color w:val="1666AF"/>
        </w:rPr>
        <w:t xml:space="preserve">Expense ratio </w:t>
      </w:r>
      <w:r>
        <w:rPr>
          <w:rFonts w:ascii="Arial" w:cs="Arial" w:eastAsia="Arial" w:hAnsi="Arial"/>
          <w:sz w:val="16"/>
          <w:szCs w:val="16"/>
          <w:color w:val="000000"/>
        </w:rPr>
        <w:t>decreased 2.3 points in the first quarter of 2019</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compared to the same period of 2018. Other costs and expenses, including salaries of telephone sales personnel and other underwriting costs related to customer acquisition, were 2.2 points lower in the first quarter of 2019 compared to the same period of 2018 due to the continued implementation of process efficiencies.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100" w:firstLine="324"/>
        <w:spacing w:after="0" w:line="250" w:lineRule="auto"/>
        <w:rPr>
          <w:sz w:val="20"/>
          <w:szCs w:val="20"/>
          <w:color w:val="auto"/>
        </w:rPr>
      </w:pPr>
      <w:r>
        <w:rPr>
          <w:rFonts w:ascii="Arial" w:cs="Arial" w:eastAsia="Arial" w:hAnsi="Arial"/>
          <w:sz w:val="16"/>
          <w:szCs w:val="16"/>
          <w:color w:val="auto"/>
        </w:rPr>
        <w:t>Esurance uses a direct distribution model, therefore its primary acquisition-related costs are advertising as opposed to commissions. Esurance advertising expense increased by $6 million, or 0.1 points in the first quarter of 2019 compared to the same period of 2018 due to increased spending on targeted growth opportunities.</w:t>
      </w:r>
    </w:p>
    <w:p>
      <w:pPr>
        <w:spacing w:after="0" w:line="387"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140"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67</w:t>
      </w:r>
    </w:p>
    <w:p>
      <w:pPr>
        <w:sectPr>
          <w:pgSz w:w="11900" w:h="16838" w:orient="portrait"/>
          <w:cols w:equalWidth="0" w:num="1">
            <w:col w:w="11420"/>
          </w:cols>
          <w:pgMar w:left="240" w:top="141" w:right="2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6"/>
          <w:szCs w:val="16"/>
          <w:color w:val="1666AF"/>
        </w:rPr>
        <w:t xml:space="preserve">Segment Results </w:t>
      </w:r>
      <w:r>
        <w:rPr>
          <w:rFonts w:ascii="Arial" w:cs="Arial" w:eastAsia="Arial" w:hAnsi="Arial"/>
          <w:sz w:val="16"/>
          <w:szCs w:val="16"/>
          <w:color w:val="000000"/>
        </w:rPr>
        <w:t>Allstate Protection: Encompass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413385</wp:posOffset>
            </wp:positionV>
            <wp:extent cx="1586230" cy="3771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5862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20"/>
                <w:szCs w:val="20"/>
                <w:color w:val="auto"/>
              </w:rPr>
            </w:pPr>
          </w:p>
        </w:tc>
        <w:tc>
          <w:tcPr>
            <w:tcW w:w="26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7"/>
              </w:rPr>
              <w:t>Three months ended March 31,</w:t>
            </w:r>
          </w:p>
        </w:tc>
      </w:tr>
      <w:tr>
        <w:trPr>
          <w:trHeight w:val="249"/>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 written</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 earned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revenue</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Claims and claims expense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DAC</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costs and expenses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Restructuring and related charges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(loss) income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Catastrophe losses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w:t>
            </w:r>
          </w:p>
        </w:tc>
      </w:tr>
      <w:tr>
        <w:trPr>
          <w:trHeight w:val="33"/>
        </w:trPr>
        <w:tc>
          <w:tcPr>
            <w:tcW w:w="8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005BA5"/>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top w:val="single" w:sz="8" w:color="005BA5"/>
              <w:bottom w:val="single" w:sz="8" w:color="auto"/>
            </w:tcBorders>
          </w:tcPr>
          <w:p>
            <w:pPr>
              <w:spacing w:after="0"/>
              <w:rPr>
                <w:sz w:val="22"/>
                <w:szCs w:val="22"/>
                <w:color w:val="auto"/>
              </w:rPr>
            </w:pPr>
          </w:p>
        </w:tc>
        <w:tc>
          <w:tcPr>
            <w:tcW w:w="1140" w:type="dxa"/>
            <w:vAlign w:val="bottom"/>
            <w:tcBorders>
              <w:top w:val="single" w:sz="8" w:color="005BA5"/>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top w:val="single" w:sz="8" w:color="005BA5"/>
              <w:bottom w:val="single" w:sz="8" w:color="auto"/>
            </w:tcBorders>
          </w:tcPr>
          <w:p>
            <w:pPr>
              <w:spacing w:after="0"/>
              <w:rPr>
                <w:sz w:val="22"/>
                <w:szCs w:val="22"/>
                <w:color w:val="auto"/>
              </w:rPr>
            </w:pPr>
          </w:p>
        </w:tc>
        <w:tc>
          <w:tcPr>
            <w:tcW w:w="1040" w:type="dxa"/>
            <w:vAlign w:val="bottom"/>
            <w:tcBorders>
              <w:top w:val="single" w:sz="8" w:color="005BA5"/>
              <w:bottom w:val="single" w:sz="8" w:color="auto"/>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income (loss) by line of business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5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(loss) income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129"/>
        </w:trPr>
        <w:tc>
          <w:tcPr>
            <w:tcW w:w="8580" w:type="dxa"/>
            <w:vAlign w:val="bottom"/>
            <w:tcBorders>
              <w:bottom w:val="single" w:sz="8" w:color="auto"/>
            </w:tcBorders>
            <w:gridSpan w:val="2"/>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237"/>
        </w:trPr>
        <w:tc>
          <w:tcPr>
            <w:tcW w:w="8580" w:type="dxa"/>
            <w:vAlign w:val="bottom"/>
            <w:tcBorders>
              <w:bottom w:val="single" w:sz="8" w:color="auto"/>
            </w:tcBorders>
            <w:gridSpan w:val="2"/>
          </w:tcPr>
          <w:p>
            <w:pPr>
              <w:ind w:left="40"/>
              <w:spacing w:after="0" w:line="236" w:lineRule="exact"/>
              <w:rPr>
                <w:sz w:val="20"/>
                <w:szCs w:val="20"/>
                <w:color w:val="auto"/>
              </w:rPr>
            </w:pPr>
            <w:r>
              <w:rPr>
                <w:rFonts w:ascii="Arial" w:cs="Arial" w:eastAsia="Arial" w:hAnsi="Arial"/>
                <w:sz w:val="16"/>
                <w:szCs w:val="16"/>
                <w:b w:val="1"/>
                <w:bCs w:val="1"/>
                <w:color w:val="auto"/>
              </w:rPr>
              <w:t xml:space="preserve">Changes in underwriting results from prior year by component </w:t>
            </w:r>
            <w:r>
              <w:rPr>
                <w:rFonts w:ascii="Arial" w:cs="Arial" w:eastAsia="Arial" w:hAnsi="Arial"/>
                <w:sz w:val="27"/>
                <w:szCs w:val="27"/>
                <w:color w:val="005BA5"/>
                <w:vertAlign w:val="superscript"/>
              </w:rPr>
              <w:t>(1)</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52"/>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21"/>
                <w:szCs w:val="21"/>
                <w:color w:val="auto"/>
              </w:rPr>
            </w:pPr>
          </w:p>
        </w:tc>
        <w:tc>
          <w:tcPr>
            <w:tcW w:w="26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49"/>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Underwriting income (loss) - prior period</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Changes in underwriting loss from:</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premiums earned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other revenue</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incurred claims and claims expense (“losses”):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Incurred losses, excluding catastrophe losses and reserve reestimates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Catastrophe losses, excluding reserve reestimates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Catastrophe reserve reestimates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Non-catastrophe reserve reestimates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color w:val="auto"/>
              </w:rPr>
              <w:t>Losses subtotal</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(Increase) decrease expenses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(loss) income</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91"/>
        <w:spacing w:after="0"/>
        <w:tabs>
          <w:tab w:leader="none" w:pos="280" w:val="left"/>
        </w:tabs>
        <w:numPr>
          <w:ilvl w:val="0"/>
          <w:numId w:val="64"/>
        </w:numPr>
        <w:rPr>
          <w:rFonts w:ascii="Arial" w:cs="Arial" w:eastAsia="Arial" w:hAnsi="Arial"/>
          <w:sz w:val="23"/>
          <w:szCs w:val="23"/>
          <w:color w:val="005BA5"/>
          <w:vertAlign w:val="superscript"/>
        </w:rPr>
      </w:pPr>
      <w:r>
        <w:rPr>
          <w:rFonts w:ascii="Arial" w:cs="Arial" w:eastAsia="Arial" w:hAnsi="Arial"/>
          <w:sz w:val="14"/>
          <w:szCs w:val="14"/>
          <w:color w:val="auto"/>
        </w:rPr>
        <w:t>The 2019 column presents changes in 2019 compared to 2018. The 2018 column presents changes in 2018 compared to 2017.</w:t>
      </w:r>
    </w:p>
    <w:p>
      <w:pPr>
        <w:spacing w:after="0" w:line="108" w:lineRule="exact"/>
        <w:rPr>
          <w:sz w:val="20"/>
          <w:szCs w:val="20"/>
          <w:color w:val="auto"/>
        </w:rPr>
      </w:pPr>
    </w:p>
    <w:p>
      <w:pPr>
        <w:ind w:right="460" w:firstLine="324"/>
        <w:spacing w:after="0" w:line="253" w:lineRule="auto"/>
        <w:rPr>
          <w:sz w:val="20"/>
          <w:szCs w:val="20"/>
          <w:color w:val="auto"/>
        </w:rPr>
      </w:pPr>
      <w:r>
        <w:rPr>
          <w:rFonts w:ascii="Arial" w:cs="Arial" w:eastAsia="Arial" w:hAnsi="Arial"/>
          <w:sz w:val="16"/>
          <w:szCs w:val="16"/>
          <w:i w:val="1"/>
          <w:iCs w:val="1"/>
          <w:color w:val="1666AF"/>
        </w:rPr>
        <w:t xml:space="preserve">Underwriting loss </w:t>
      </w:r>
      <w:r>
        <w:rPr>
          <w:rFonts w:ascii="Arial" w:cs="Arial" w:eastAsia="Arial" w:hAnsi="Arial"/>
          <w:sz w:val="16"/>
          <w:szCs w:val="16"/>
          <w:color w:val="000000"/>
        </w:rPr>
        <w:t>was $2 million in the first quarter of 2019 compared to underwriting income of $6 million in the first quarter of 2018, primarily due to</w:t>
      </w:r>
      <w:r>
        <w:rPr>
          <w:rFonts w:ascii="Arial" w:cs="Arial" w:eastAsia="Arial" w:hAnsi="Arial"/>
          <w:sz w:val="16"/>
          <w:szCs w:val="16"/>
          <w:i w:val="1"/>
          <w:iCs w:val="1"/>
          <w:color w:val="1666AF"/>
        </w:rPr>
        <w:t xml:space="preserve"> </w:t>
      </w:r>
      <w:r>
        <w:rPr>
          <w:rFonts w:ascii="Arial" w:cs="Arial" w:eastAsia="Arial" w:hAnsi="Arial"/>
          <w:sz w:val="16"/>
          <w:szCs w:val="16"/>
          <w:color w:val="000000"/>
        </w:rPr>
        <w:t>higher catastrophe losses and increased non-catastrophe claim severity and decreased premiums earned, partially offset by lower operating costs and expenses.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68 </w:t>
      </w:r>
      <w:r>
        <w:rPr>
          <w:sz w:val="1"/>
          <w:szCs w:val="1"/>
          <w:color w:val="auto"/>
        </w:rPr>
        <w:drawing>
          <wp:inline distT="0" distB="0" distL="0" distR="0">
            <wp:extent cx="111760" cy="11176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420"/>
          </w:cols>
          <w:pgMar w:left="240" w:top="141" w:right="239" w:bottom="1440" w:gutter="0" w:footer="0" w:header="0"/>
        </w:sectPr>
      </w:pPr>
    </w:p>
    <w:bookmarkStart w:id="72" w:name="page73"/>
    <w:bookmarkEnd w:id="72"/>
    <w:p>
      <w:pPr>
        <w:ind w:left="7440"/>
        <w:spacing w:after="0"/>
        <w:rPr>
          <w:sz w:val="20"/>
          <w:szCs w:val="20"/>
          <w:color w:val="auto"/>
        </w:rPr>
      </w:pPr>
      <w:r>
        <w:rPr>
          <w:rFonts w:ascii="Arial" w:cs="Arial" w:eastAsia="Arial" w:hAnsi="Arial"/>
          <w:sz w:val="16"/>
          <w:szCs w:val="16"/>
          <w:color w:val="auto"/>
        </w:rPr>
        <w:t xml:space="preserve">Allstate Protection: Encompass brand </w:t>
      </w:r>
      <w:r>
        <w:rPr>
          <w:rFonts w:ascii="Arial" w:cs="Arial" w:eastAsia="Arial" w:hAnsi="Arial"/>
          <w:sz w:val="16"/>
          <w:szCs w:val="16"/>
          <w:color w:val="1666AF"/>
        </w:rPr>
        <w:t>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Premiums written and earned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840" w:type="dxa"/>
            <w:vAlign w:val="bottom"/>
            <w:gridSpan w:val="5"/>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r>
      <w:tr>
        <w:trPr>
          <w:trHeight w:val="249"/>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4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Premiums written</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94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94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4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b w:val="1"/>
                <w:bCs w:val="1"/>
                <w:color w:val="auto"/>
              </w:rPr>
              <w:t>224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223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Premiums earned</w:t>
            </w: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94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940" w:type="dxa"/>
            <w:vAlign w:val="bottom"/>
          </w:tcPr>
          <w:p>
            <w:pPr>
              <w:spacing w:after="0"/>
              <w:rPr>
                <w:sz w:val="18"/>
                <w:szCs w:val="18"/>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4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b w:val="1"/>
                <w:bCs w:val="1"/>
                <w:color w:val="auto"/>
              </w:rPr>
              <w:t>253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257</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4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129"/>
        </w:trPr>
        <w:tc>
          <w:tcPr>
            <w:tcW w:w="8580" w:type="dxa"/>
            <w:vAlign w:val="bottom"/>
            <w:tcBorders>
              <w:bottom w:val="single" w:sz="8" w:color="auto"/>
            </w:tcBorders>
            <w:gridSpan w:val="2"/>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230"/>
        </w:trPr>
        <w:tc>
          <w:tcPr>
            <w:tcW w:w="8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Auto premium measures and statistics</w:t>
            </w: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37"/>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gridSpan w:val="5"/>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r>
      <w:tr>
        <w:trPr>
          <w:trHeight w:val="270"/>
        </w:trPr>
        <w:tc>
          <w:tcPr>
            <w:tcW w:w="8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PIF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issued applications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36829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Renewal ratio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Approved rate changes </w:t>
      </w:r>
      <w:r>
        <w:rPr>
          <w:rFonts w:ascii="Arial" w:cs="Arial" w:eastAsia="Arial" w:hAnsi="Arial"/>
          <w:sz w:val="27"/>
          <w:szCs w:val="27"/>
          <w:color w:val="005BA5"/>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6829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517</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1,116</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72.5</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18008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7860" w:space="720"/>
            <w:col w:w="2840"/>
          </w:cols>
          <w:pgMar w:left="240" w:top="141" w:right="239" w:bottom="1440" w:gutter="0" w:footer="0" w:header="0"/>
          <w:type w:val="continuous"/>
        </w:sectPr>
      </w:pPr>
    </w:p>
    <w:p>
      <w:pPr>
        <w:ind w:left="180"/>
        <w:spacing w:after="0" w:line="208" w:lineRule="auto"/>
        <w:rPr>
          <w:sz w:val="20"/>
          <w:szCs w:val="20"/>
          <w:color w:val="auto"/>
        </w:rPr>
      </w:pPr>
      <w:r>
        <w:rPr>
          <w:rFonts w:ascii="Arial" w:cs="Arial" w:eastAsia="Arial" w:hAnsi="Arial"/>
          <w:sz w:val="16"/>
          <w:szCs w:val="16"/>
          <w:color w:val="auto"/>
        </w:rPr>
        <w:t xml:space="preserve">Number of locations </w:t>
      </w:r>
      <w:r>
        <w:rPr>
          <w:rFonts w:ascii="Arial" w:cs="Arial" w:eastAsia="Arial" w:hAnsi="Arial"/>
          <w:sz w:val="27"/>
          <w:szCs w:val="27"/>
          <w:color w:val="005BA5"/>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3682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180"/>
        <w:spacing w:after="0" w:line="209" w:lineRule="auto"/>
        <w:rPr>
          <w:sz w:val="20"/>
          <w:szCs w:val="20"/>
          <w:color w:val="auto"/>
        </w:rPr>
      </w:pPr>
      <w:r>
        <w:rPr>
          <w:rFonts w:ascii="Arial" w:cs="Arial" w:eastAsia="Arial" w:hAnsi="Arial"/>
          <w:sz w:val="16"/>
          <w:szCs w:val="16"/>
          <w:color w:val="auto"/>
        </w:rPr>
        <w:t xml:space="preserve">Total brand (%) </w:t>
      </w:r>
      <w:r>
        <w:rPr>
          <w:rFonts w:ascii="Arial" w:cs="Arial" w:eastAsia="Arial" w:hAnsi="Arial"/>
          <w:sz w:val="27"/>
          <w:szCs w:val="27"/>
          <w:color w:val="005BA5"/>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36829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 xml:space="preserve">Location specific (%) </w:t>
      </w:r>
      <w:r>
        <w:rPr>
          <w:rFonts w:ascii="Arial" w:cs="Arial" w:eastAsia="Arial" w:hAnsi="Arial"/>
          <w:sz w:val="23"/>
          <w:szCs w:val="23"/>
          <w:color w:val="005BA5"/>
          <w:vertAlign w:val="superscript"/>
        </w:rPr>
        <w:t>(4)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3682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5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27940</wp:posOffset>
            </wp:positionV>
            <wp:extent cx="87503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49530</wp:posOffset>
            </wp:positionV>
            <wp:extent cx="87503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49530</wp:posOffset>
            </wp:positionV>
            <wp:extent cx="87503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27940</wp:posOffset>
            </wp:positionV>
            <wp:extent cx="85788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42545</wp:posOffset>
            </wp:positionV>
            <wp:extent cx="85788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42545</wp:posOffset>
            </wp:positionV>
            <wp:extent cx="85788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3">
            <w:col w:w="8940" w:space="720"/>
            <w:col w:w="720" w:space="720"/>
            <w:col w:w="320"/>
          </w:cols>
          <w:pgMar w:left="240" w:top="141" w:right="239" w:bottom="1440" w:gutter="0" w:footer="0" w:header="0"/>
          <w:type w:val="continuous"/>
        </w:sectPr>
      </w:pPr>
    </w:p>
    <w:p>
      <w:pPr>
        <w:ind w:left="280" w:right="60" w:hanging="191"/>
        <w:spacing w:after="0" w:line="203" w:lineRule="auto"/>
        <w:tabs>
          <w:tab w:leader="none" w:pos="280" w:val="left"/>
        </w:tabs>
        <w:numPr>
          <w:ilvl w:val="0"/>
          <w:numId w:val="65"/>
        </w:numPr>
        <w:rPr>
          <w:rFonts w:ascii="Arial" w:cs="Arial" w:eastAsia="Arial" w:hAnsi="Arial"/>
          <w:sz w:val="23"/>
          <w:szCs w:val="23"/>
          <w:color w:val="005BA5"/>
          <w:vertAlign w:val="superscript"/>
        </w:rPr>
      </w:pPr>
      <w:r>
        <w:rPr>
          <w:rFonts w:ascii="Arial" w:cs="Arial" w:eastAsia="Arial" w:hAnsi="Arial"/>
          <w:sz w:val="14"/>
          <w:szCs w:val="14"/>
          <w:color w:val="auto"/>
        </w:rPr>
        <w:t>Rate changes that are indicated based on loss trend analysis to achieve a targeted return will continue to be pursued. Rate changes do not include rating plan enhancements, including the introduction of discounts and surcharges that result in no change in the overall rate level in a location. These rate changes do not reflect initial rates filed for insurance subsidiaries initially writing business in a location.</w:t>
      </w:r>
    </w:p>
    <w:p>
      <w:pPr>
        <w:ind w:left="280" w:hanging="191"/>
        <w:spacing w:after="0" w:line="196" w:lineRule="auto"/>
        <w:tabs>
          <w:tab w:leader="none" w:pos="280" w:val="left"/>
        </w:tabs>
        <w:numPr>
          <w:ilvl w:val="0"/>
          <w:numId w:val="65"/>
        </w:numPr>
        <w:rPr>
          <w:rFonts w:ascii="Arial" w:cs="Arial" w:eastAsia="Arial" w:hAnsi="Arial"/>
          <w:sz w:val="23"/>
          <w:szCs w:val="23"/>
          <w:color w:val="005BA5"/>
          <w:vertAlign w:val="superscript"/>
        </w:rPr>
      </w:pPr>
      <w:r>
        <w:rPr>
          <w:rFonts w:ascii="Arial" w:cs="Arial" w:eastAsia="Arial" w:hAnsi="Arial"/>
          <w:sz w:val="14"/>
          <w:szCs w:val="14"/>
          <w:color w:val="auto"/>
        </w:rPr>
        <w:t>Encompass brand operates in 40 states and the District of Columbia.</w:t>
      </w:r>
    </w:p>
    <w:p>
      <w:pPr>
        <w:spacing w:after="0" w:line="43" w:lineRule="exact"/>
        <w:rPr>
          <w:rFonts w:ascii="Arial" w:cs="Arial" w:eastAsia="Arial" w:hAnsi="Arial"/>
          <w:sz w:val="23"/>
          <w:szCs w:val="23"/>
          <w:color w:val="005BA5"/>
          <w:vertAlign w:val="superscript"/>
        </w:rPr>
      </w:pPr>
    </w:p>
    <w:p>
      <w:pPr>
        <w:ind w:left="280" w:right="40" w:hanging="191"/>
        <w:spacing w:after="0" w:line="188" w:lineRule="auto"/>
        <w:tabs>
          <w:tab w:leader="none" w:pos="280" w:val="left"/>
        </w:tabs>
        <w:numPr>
          <w:ilvl w:val="0"/>
          <w:numId w:val="65"/>
        </w:numPr>
        <w:rPr>
          <w:rFonts w:ascii="Arial" w:cs="Arial" w:eastAsia="Arial" w:hAnsi="Arial"/>
          <w:sz w:val="23"/>
          <w:szCs w:val="23"/>
          <w:color w:val="005BA5"/>
          <w:vertAlign w:val="superscript"/>
        </w:rPr>
      </w:pPr>
      <w:r>
        <w:rPr>
          <w:rFonts w:ascii="Arial" w:cs="Arial" w:eastAsia="Arial" w:hAnsi="Arial"/>
          <w:sz w:val="14"/>
          <w:szCs w:val="14"/>
          <w:color w:val="auto"/>
        </w:rPr>
        <w:t>Represents the impact in the states and the District of Columbia where rate changes were approved during the period as a percentage of total brand 2018 and 2017 premiums written, respectively.</w:t>
      </w:r>
    </w:p>
    <w:p>
      <w:pPr>
        <w:spacing w:after="0" w:line="44" w:lineRule="exact"/>
        <w:rPr>
          <w:rFonts w:ascii="Arial" w:cs="Arial" w:eastAsia="Arial" w:hAnsi="Arial"/>
          <w:sz w:val="23"/>
          <w:szCs w:val="23"/>
          <w:color w:val="005BA5"/>
          <w:vertAlign w:val="superscript"/>
        </w:rPr>
      </w:pPr>
    </w:p>
    <w:p>
      <w:pPr>
        <w:ind w:left="280" w:right="100" w:hanging="191"/>
        <w:spacing w:after="0" w:line="188" w:lineRule="auto"/>
        <w:tabs>
          <w:tab w:leader="none" w:pos="280" w:val="left"/>
        </w:tabs>
        <w:numPr>
          <w:ilvl w:val="0"/>
          <w:numId w:val="65"/>
        </w:numPr>
        <w:rPr>
          <w:rFonts w:ascii="Arial" w:cs="Arial" w:eastAsia="Arial" w:hAnsi="Arial"/>
          <w:sz w:val="23"/>
          <w:szCs w:val="23"/>
          <w:color w:val="005BA5"/>
          <w:vertAlign w:val="superscript"/>
        </w:rPr>
      </w:pPr>
      <w:r>
        <w:rPr>
          <w:rFonts w:ascii="Arial" w:cs="Arial" w:eastAsia="Arial" w:hAnsi="Arial"/>
          <w:sz w:val="14"/>
          <w:szCs w:val="14"/>
          <w:color w:val="auto"/>
        </w:rPr>
        <w:t>Represents the impact in the states and the District of Columbia where rate changes were approved during the period as a percentage of their respective total 2018 and 2017 premiums written in those same locations.</w:t>
      </w:r>
    </w:p>
    <w:p>
      <w:pPr>
        <w:spacing w:after="0" w:line="44" w:lineRule="exact"/>
        <w:rPr>
          <w:rFonts w:ascii="Arial" w:cs="Arial" w:eastAsia="Arial" w:hAnsi="Arial"/>
          <w:sz w:val="23"/>
          <w:szCs w:val="23"/>
          <w:color w:val="005BA5"/>
          <w:vertAlign w:val="superscript"/>
        </w:rPr>
      </w:pPr>
    </w:p>
    <w:p>
      <w:pPr>
        <w:ind w:left="280" w:right="40" w:hanging="191"/>
        <w:spacing w:after="0" w:line="188" w:lineRule="auto"/>
        <w:tabs>
          <w:tab w:leader="none" w:pos="280" w:val="left"/>
        </w:tabs>
        <w:numPr>
          <w:ilvl w:val="0"/>
          <w:numId w:val="65"/>
        </w:numPr>
        <w:rPr>
          <w:rFonts w:ascii="Arial" w:cs="Arial" w:eastAsia="Arial" w:hAnsi="Arial"/>
          <w:sz w:val="23"/>
          <w:szCs w:val="23"/>
          <w:color w:val="005BA5"/>
          <w:vertAlign w:val="superscript"/>
        </w:rPr>
      </w:pPr>
      <w:r>
        <w:rPr>
          <w:rFonts w:ascii="Arial" w:cs="Arial" w:eastAsia="Arial" w:hAnsi="Arial"/>
          <w:sz w:val="14"/>
          <w:szCs w:val="14"/>
          <w:color w:val="auto"/>
        </w:rPr>
        <w:t>Based on historical premiums written in the locations noted above, the annual impact of rate changes approved for auto totaled $2 million in the three months ended March 31, 2019 compared to $2 million in the three months ended March 31, 2018.</w:t>
      </w:r>
    </w:p>
    <w:p>
      <w:pPr>
        <w:sectPr>
          <w:pgSz w:w="11900" w:h="16838" w:orient="portrait"/>
          <w:cols w:equalWidth="0" w:num="1">
            <w:col w:w="11420"/>
          </w:cols>
          <w:pgMar w:left="240" w:top="141" w:right="239" w:bottom="1440" w:gutter="0" w:footer="0" w:header="0"/>
          <w:type w:val="continuous"/>
        </w:sectPr>
      </w:pPr>
    </w:p>
    <w:p>
      <w:pPr>
        <w:spacing w:after="0" w:line="80" w:lineRule="exact"/>
        <w:rPr>
          <w:sz w:val="20"/>
          <w:szCs w:val="20"/>
          <w:color w:val="auto"/>
        </w:rPr>
      </w:pPr>
    </w:p>
    <w:p>
      <w:pPr>
        <w:ind w:firstLine="324"/>
        <w:spacing w:after="0" w:line="264" w:lineRule="auto"/>
        <w:rPr>
          <w:sz w:val="20"/>
          <w:szCs w:val="20"/>
          <w:color w:val="auto"/>
        </w:rPr>
      </w:pPr>
      <w:r>
        <w:rPr>
          <w:rFonts w:ascii="Arial" w:cs="Arial" w:eastAsia="Arial" w:hAnsi="Arial"/>
          <w:sz w:val="16"/>
          <w:szCs w:val="16"/>
          <w:i w:val="1"/>
          <w:iCs w:val="1"/>
          <w:color w:val="1666AF"/>
        </w:rPr>
        <w:t xml:space="preserve">Auto insurance premiums written </w:t>
      </w:r>
      <w:r>
        <w:rPr>
          <w:rFonts w:ascii="Arial" w:cs="Arial" w:eastAsia="Arial" w:hAnsi="Arial"/>
          <w:sz w:val="16"/>
          <w:szCs w:val="16"/>
          <w:color w:val="000000"/>
        </w:rPr>
        <w:t>totaled $120 million in the first quarter</w:t>
      </w:r>
      <w:r>
        <w:rPr>
          <w:rFonts w:ascii="Arial" w:cs="Arial" w:eastAsia="Arial" w:hAnsi="Arial"/>
          <w:sz w:val="16"/>
          <w:szCs w:val="16"/>
          <w:i w:val="1"/>
          <w:iCs w:val="1"/>
          <w:color w:val="1666AF"/>
        </w:rPr>
        <w:t xml:space="preserve"> </w:t>
      </w:r>
      <w:r>
        <w:rPr>
          <w:rFonts w:ascii="Arial" w:cs="Arial" w:eastAsia="Arial" w:hAnsi="Arial"/>
          <w:sz w:val="16"/>
          <w:szCs w:val="16"/>
          <w:color w:val="000000"/>
        </w:rPr>
        <w:t>of 2019, a 1.7% increase from $118 million in the first quarter of 2018. Factors impacting premiums written were:</w:t>
      </w:r>
    </w:p>
    <w:p>
      <w:pPr>
        <w:spacing w:after="0" w:line="72" w:lineRule="exact"/>
        <w:rPr>
          <w:sz w:val="20"/>
          <w:szCs w:val="20"/>
          <w:color w:val="auto"/>
        </w:rPr>
      </w:pPr>
    </w:p>
    <w:p>
      <w:pPr>
        <w:ind w:left="340" w:right="160" w:hanging="251"/>
        <w:spacing w:after="0" w:line="275" w:lineRule="auto"/>
        <w:tabs>
          <w:tab w:leader="none" w:pos="340" w:val="left"/>
        </w:tabs>
        <w:numPr>
          <w:ilvl w:val="0"/>
          <w:numId w:val="66"/>
        </w:numPr>
        <w:rPr>
          <w:rFonts w:ascii="Arial" w:cs="Arial" w:eastAsia="Arial" w:hAnsi="Arial"/>
          <w:sz w:val="16"/>
          <w:szCs w:val="16"/>
          <w:color w:val="005BA5"/>
        </w:rPr>
      </w:pPr>
      <w:r>
        <w:rPr>
          <w:rFonts w:ascii="Arial" w:cs="Arial" w:eastAsia="Arial" w:hAnsi="Arial"/>
          <w:sz w:val="16"/>
          <w:szCs w:val="16"/>
          <w:color w:val="auto"/>
        </w:rPr>
        <w:t>3.5% or 18 thousand decrease in PIF as of March 31, 2019 compared to March 31, 2018.</w:t>
      </w:r>
    </w:p>
    <w:p>
      <w:pPr>
        <w:spacing w:after="0" w:line="64" w:lineRule="exact"/>
        <w:rPr>
          <w:rFonts w:ascii="Arial" w:cs="Arial" w:eastAsia="Arial" w:hAnsi="Arial"/>
          <w:sz w:val="16"/>
          <w:szCs w:val="16"/>
          <w:color w:val="005BA5"/>
        </w:rPr>
      </w:pPr>
    </w:p>
    <w:p>
      <w:pPr>
        <w:ind w:left="340" w:right="580" w:hanging="251"/>
        <w:spacing w:after="0" w:line="275" w:lineRule="auto"/>
        <w:tabs>
          <w:tab w:leader="none" w:pos="340" w:val="left"/>
        </w:tabs>
        <w:numPr>
          <w:ilvl w:val="0"/>
          <w:numId w:val="66"/>
        </w:numPr>
        <w:rPr>
          <w:rFonts w:ascii="Arial" w:cs="Arial" w:eastAsia="Arial" w:hAnsi="Arial"/>
          <w:sz w:val="16"/>
          <w:szCs w:val="16"/>
          <w:color w:val="005BA5"/>
        </w:rPr>
      </w:pPr>
      <w:r>
        <w:rPr>
          <w:rFonts w:ascii="Arial" w:cs="Arial" w:eastAsia="Arial" w:hAnsi="Arial"/>
          <w:sz w:val="16"/>
          <w:szCs w:val="16"/>
          <w:color w:val="auto"/>
        </w:rPr>
        <w:t>5.2 point increase in the renewal ratio in the first quarter of 2019 compared to the same period of</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left="237"/>
        <w:spacing w:after="0"/>
        <w:rPr>
          <w:sz w:val="20"/>
          <w:szCs w:val="20"/>
          <w:color w:val="auto"/>
        </w:rPr>
      </w:pPr>
      <w:r>
        <w:rPr>
          <w:rFonts w:ascii="Arial" w:cs="Arial" w:eastAsia="Arial" w:hAnsi="Arial"/>
          <w:sz w:val="16"/>
          <w:szCs w:val="16"/>
          <w:color w:val="auto"/>
        </w:rPr>
        <w:t>2018, as profit improvement actions have moderated.</w:t>
      </w:r>
    </w:p>
    <w:p>
      <w:pPr>
        <w:spacing w:after="0" w:line="154" w:lineRule="exact"/>
        <w:rPr>
          <w:sz w:val="20"/>
          <w:szCs w:val="20"/>
          <w:color w:val="auto"/>
        </w:rPr>
      </w:pPr>
    </w:p>
    <w:p>
      <w:pPr>
        <w:ind w:left="237" w:right="300" w:hanging="237"/>
        <w:spacing w:after="0" w:line="275" w:lineRule="auto"/>
        <w:tabs>
          <w:tab w:leader="none" w:pos="237" w:val="left"/>
        </w:tabs>
        <w:numPr>
          <w:ilvl w:val="0"/>
          <w:numId w:val="67"/>
        </w:numPr>
        <w:rPr>
          <w:rFonts w:ascii="Arial" w:cs="Arial" w:eastAsia="Arial" w:hAnsi="Arial"/>
          <w:sz w:val="16"/>
          <w:szCs w:val="16"/>
          <w:color w:val="005BA5"/>
        </w:rPr>
      </w:pPr>
      <w:r>
        <w:rPr>
          <w:rFonts w:ascii="Arial" w:cs="Arial" w:eastAsia="Arial" w:hAnsi="Arial"/>
          <w:sz w:val="16"/>
          <w:szCs w:val="16"/>
          <w:color w:val="auto"/>
        </w:rPr>
        <w:t>17.6% increase in new issued applications in the first quarter of 2019 compared to the same period of 2018.</w:t>
      </w:r>
    </w:p>
    <w:p>
      <w:pPr>
        <w:spacing w:after="0" w:line="64" w:lineRule="exact"/>
        <w:rPr>
          <w:rFonts w:ascii="Arial" w:cs="Arial" w:eastAsia="Arial" w:hAnsi="Arial"/>
          <w:sz w:val="16"/>
          <w:szCs w:val="16"/>
          <w:color w:val="005BA5"/>
        </w:rPr>
      </w:pPr>
    </w:p>
    <w:p>
      <w:pPr>
        <w:ind w:left="237" w:right="60" w:hanging="237"/>
        <w:spacing w:after="0" w:line="275" w:lineRule="auto"/>
        <w:tabs>
          <w:tab w:leader="none" w:pos="237" w:val="left"/>
        </w:tabs>
        <w:numPr>
          <w:ilvl w:val="0"/>
          <w:numId w:val="67"/>
        </w:numPr>
        <w:rPr>
          <w:rFonts w:ascii="Arial" w:cs="Arial" w:eastAsia="Arial" w:hAnsi="Arial"/>
          <w:sz w:val="16"/>
          <w:szCs w:val="16"/>
          <w:color w:val="005BA5"/>
        </w:rPr>
      </w:pPr>
      <w:r>
        <w:rPr>
          <w:rFonts w:ascii="Arial" w:cs="Arial" w:eastAsia="Arial" w:hAnsi="Arial"/>
          <w:sz w:val="16"/>
          <w:szCs w:val="16"/>
          <w:color w:val="auto"/>
        </w:rPr>
        <w:t>1.6% increase in average premium in the first quarter of 2019 compared to the same period of 2018, due to rate changes.</w:t>
      </w:r>
    </w:p>
    <w:p>
      <w:pPr>
        <w:spacing w:after="0" w:line="510" w:lineRule="exact"/>
        <w:rPr>
          <w:sz w:val="20"/>
          <w:szCs w:val="20"/>
          <w:color w:val="auto"/>
        </w:rPr>
      </w:pPr>
    </w:p>
    <w:p>
      <w:pPr>
        <w:sectPr>
          <w:pgSz w:w="11900" w:h="16838" w:orient="portrait"/>
          <w:cols w:equalWidth="0" w:num="2">
            <w:col w:w="5440" w:space="583"/>
            <w:col w:w="5397"/>
          </w:cols>
          <w:pgMar w:left="240" w:top="141" w:right="239" w:bottom="1440" w:gutter="0" w:footer="0" w:header="0"/>
          <w:type w:val="continuous"/>
        </w:sectPr>
      </w:pPr>
    </w:p>
    <w:p>
      <w:pPr>
        <w:spacing w:after="0" w:line="119"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69</w:t>
      </w:r>
    </w:p>
    <w:p>
      <w:pPr>
        <w:sectPr>
          <w:pgSz w:w="11900" w:h="16838" w:orient="portrait"/>
          <w:cols w:equalWidth="0" w:num="1">
            <w:col w:w="11420"/>
          </w:cols>
          <w:pgMar w:left="240" w:top="141" w:right="23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6"/>
          <w:szCs w:val="16"/>
          <w:color w:val="1666AF"/>
        </w:rPr>
        <w:t xml:space="preserve">Segment Results </w:t>
      </w:r>
      <w:r>
        <w:rPr>
          <w:rFonts w:ascii="Arial" w:cs="Arial" w:eastAsia="Arial" w:hAnsi="Arial"/>
          <w:sz w:val="16"/>
          <w:szCs w:val="16"/>
          <w:color w:val="000000"/>
        </w:rPr>
        <w:t>Allstate Protection: Encompass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Homeowners premium measure and statistics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109"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PIF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issued applications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536829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Average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Renewal ratio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5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Approved rate changes </w:t>
      </w:r>
      <w:r>
        <w:rPr>
          <w:rFonts w:ascii="Arial" w:cs="Arial" w:eastAsia="Arial" w:hAnsi="Arial"/>
          <w:sz w:val="27"/>
          <w:szCs w:val="27"/>
          <w:color w:val="005BA5"/>
          <w:vertAlign w:val="superscript"/>
        </w:rPr>
        <w:t>(1)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6829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248</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1,768</w:t>
            </w:r>
          </w:p>
        </w:tc>
        <w:tc>
          <w:tcPr>
            <w:tcW w:w="10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1,698</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r>
        <w:trPr>
          <w:trHeight w:val="217"/>
        </w:trPr>
        <w:tc>
          <w:tcPr>
            <w:tcW w:w="5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82.1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78.3</w:t>
            </w:r>
          </w:p>
        </w:tc>
      </w:tr>
      <w:tr>
        <w:trPr>
          <w:trHeight w:val="33"/>
        </w:trPr>
        <w:tc>
          <w:tcPr>
            <w:tcW w:w="52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171450</wp:posOffset>
            </wp:positionV>
            <wp:extent cx="180086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12" w:lineRule="exact"/>
        <w:rPr>
          <w:sz w:val="20"/>
          <w:szCs w:val="20"/>
          <w:color w:val="auto"/>
        </w:rPr>
      </w:pPr>
    </w:p>
    <w:p>
      <w:pPr>
        <w:sectPr>
          <w:pgSz w:w="11900" w:h="16838" w:orient="portrait"/>
          <w:cols w:equalWidth="0" w:num="2">
            <w:col w:w="7860" w:space="720"/>
            <w:col w:w="2840"/>
          </w:cols>
          <w:pgMar w:left="240" w:top="141" w:right="239" w:bottom="1440" w:gutter="0" w:footer="0" w:header="0"/>
          <w:type w:val="continuous"/>
        </w:sectPr>
      </w:pPr>
    </w:p>
    <w:p>
      <w:pPr>
        <w:ind w:left="180"/>
        <w:spacing w:after="0" w:line="227" w:lineRule="auto"/>
        <w:rPr>
          <w:sz w:val="20"/>
          <w:szCs w:val="20"/>
          <w:color w:val="auto"/>
        </w:rPr>
      </w:pPr>
      <w:r>
        <w:rPr>
          <w:rFonts w:ascii="Arial" w:cs="Arial" w:eastAsia="Arial" w:hAnsi="Arial"/>
          <w:sz w:val="15"/>
          <w:szCs w:val="15"/>
          <w:color w:val="auto"/>
        </w:rPr>
        <w:t xml:space="preserve">Number of locations </w:t>
      </w:r>
      <w:r>
        <w:rPr>
          <w:rFonts w:ascii="Arial" w:cs="Arial" w:eastAsia="Arial" w:hAnsi="Arial"/>
          <w:sz w:val="25"/>
          <w:szCs w:val="25"/>
          <w:color w:val="005BA5"/>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536829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color w:val="auto"/>
        </w:rPr>
        <w:t>Total brand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6829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 xml:space="preserve">Location specific (%) </w:t>
      </w:r>
      <w:r>
        <w:rPr>
          <w:rFonts w:ascii="Arial" w:cs="Arial" w:eastAsia="Arial" w:hAnsi="Arial"/>
          <w:sz w:val="23"/>
          <w:szCs w:val="23"/>
          <w:color w:val="005BA5"/>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6829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5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27940</wp:posOffset>
            </wp:positionV>
            <wp:extent cx="87503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55" w:lineRule="exact"/>
        <w:rPr>
          <w:sz w:val="20"/>
          <w:szCs w:val="20"/>
          <w:color w:val="auto"/>
        </w:rPr>
      </w:pPr>
    </w:p>
    <w:p>
      <w:pPr>
        <w:jc w:val="right"/>
        <w:ind w:right="5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34925</wp:posOffset>
            </wp:positionV>
            <wp:extent cx="87503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6" w:lineRule="exact"/>
        <w:rPr>
          <w:sz w:val="20"/>
          <w:szCs w:val="20"/>
          <w:color w:val="auto"/>
        </w:rPr>
      </w:pPr>
    </w:p>
    <w:p>
      <w:pPr>
        <w:jc w:val="right"/>
        <w:ind w:right="520"/>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42545</wp:posOffset>
            </wp:positionV>
            <wp:extent cx="87503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27940</wp:posOffset>
            </wp:positionV>
            <wp:extent cx="85788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42545</wp:posOffset>
            </wp:positionV>
            <wp:extent cx="85788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-654050</wp:posOffset>
            </wp:positionH>
            <wp:positionV relativeFrom="paragraph">
              <wp:posOffset>42545</wp:posOffset>
            </wp:positionV>
            <wp:extent cx="85788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92" w:lineRule="exact"/>
        <w:rPr>
          <w:sz w:val="20"/>
          <w:szCs w:val="20"/>
          <w:color w:val="auto"/>
        </w:rPr>
      </w:pPr>
    </w:p>
    <w:p>
      <w:pPr>
        <w:sectPr>
          <w:pgSz w:w="11900" w:h="16838" w:orient="portrait"/>
          <w:cols w:equalWidth="0" w:num="3">
            <w:col w:w="8840" w:space="720"/>
            <w:col w:w="820" w:space="720"/>
            <w:col w:w="320"/>
          </w:cols>
          <w:pgMar w:left="240" w:top="141" w:right="239" w:bottom="1440" w:gutter="0" w:footer="0" w:header="0"/>
          <w:type w:val="continuous"/>
        </w:sectPr>
      </w:pPr>
    </w:p>
    <w:p>
      <w:pPr>
        <w:ind w:left="260" w:hanging="171"/>
        <w:spacing w:after="0" w:line="230" w:lineRule="auto"/>
        <w:tabs>
          <w:tab w:leader="none" w:pos="260" w:val="left"/>
        </w:tabs>
        <w:numPr>
          <w:ilvl w:val="0"/>
          <w:numId w:val="68"/>
        </w:numPr>
        <w:rPr>
          <w:rFonts w:ascii="Arial" w:cs="Arial" w:eastAsia="Arial" w:hAnsi="Arial"/>
          <w:sz w:val="20"/>
          <w:szCs w:val="20"/>
          <w:color w:val="005BA5"/>
          <w:vertAlign w:val="superscript"/>
        </w:rPr>
      </w:pPr>
      <w:r>
        <w:rPr>
          <w:rFonts w:ascii="Arial" w:cs="Arial" w:eastAsia="Arial" w:hAnsi="Arial"/>
          <w:sz w:val="12"/>
          <w:szCs w:val="12"/>
          <w:color w:val="auto"/>
        </w:rPr>
        <w:t>Includes rate changes approved based on our net cost of reinsurance.</w:t>
      </w:r>
    </w:p>
    <w:p>
      <w:pPr>
        <w:spacing w:after="0" w:line="43" w:lineRule="exact"/>
        <w:rPr>
          <w:rFonts w:ascii="Arial" w:cs="Arial" w:eastAsia="Arial" w:hAnsi="Arial"/>
          <w:sz w:val="20"/>
          <w:szCs w:val="20"/>
          <w:color w:val="005BA5"/>
          <w:vertAlign w:val="superscript"/>
        </w:rPr>
      </w:pPr>
    </w:p>
    <w:p>
      <w:pPr>
        <w:ind w:left="280" w:hanging="191"/>
        <w:spacing w:after="0" w:line="199" w:lineRule="auto"/>
        <w:tabs>
          <w:tab w:leader="none" w:pos="280" w:val="left"/>
        </w:tabs>
        <w:numPr>
          <w:ilvl w:val="0"/>
          <w:numId w:val="68"/>
        </w:numPr>
        <w:rPr>
          <w:rFonts w:ascii="Arial" w:cs="Arial" w:eastAsia="Arial" w:hAnsi="Arial"/>
          <w:sz w:val="18"/>
          <w:szCs w:val="18"/>
          <w:color w:val="005BA5"/>
          <w:vertAlign w:val="superscript"/>
        </w:rPr>
      </w:pPr>
      <w:r>
        <w:rPr>
          <w:rFonts w:ascii="Arial" w:cs="Arial" w:eastAsia="Arial" w:hAnsi="Arial"/>
          <w:sz w:val="12"/>
          <w:szCs w:val="12"/>
          <w:color w:val="auto"/>
        </w:rPr>
        <w:t>Encompass brand operates in 40 states and the District of Columbia.</w:t>
      </w:r>
    </w:p>
    <w:p>
      <w:pPr>
        <w:spacing w:after="0" w:line="44" w:lineRule="exact"/>
        <w:rPr>
          <w:rFonts w:ascii="Arial" w:cs="Arial" w:eastAsia="Arial" w:hAnsi="Arial"/>
          <w:sz w:val="18"/>
          <w:szCs w:val="18"/>
          <w:color w:val="005BA5"/>
          <w:vertAlign w:val="superscript"/>
        </w:rPr>
      </w:pPr>
    </w:p>
    <w:p>
      <w:pPr>
        <w:ind w:left="280" w:right="160" w:hanging="191"/>
        <w:spacing w:after="0" w:line="188" w:lineRule="auto"/>
        <w:tabs>
          <w:tab w:leader="none" w:pos="280" w:val="left"/>
        </w:tabs>
        <w:numPr>
          <w:ilvl w:val="0"/>
          <w:numId w:val="68"/>
        </w:numPr>
        <w:rPr>
          <w:rFonts w:ascii="Arial" w:cs="Arial" w:eastAsia="Arial" w:hAnsi="Arial"/>
          <w:sz w:val="23"/>
          <w:szCs w:val="23"/>
          <w:color w:val="005BA5"/>
          <w:vertAlign w:val="superscript"/>
        </w:rPr>
      </w:pPr>
      <w:r>
        <w:rPr>
          <w:rFonts w:ascii="Arial" w:cs="Arial" w:eastAsia="Arial" w:hAnsi="Arial"/>
          <w:sz w:val="14"/>
          <w:szCs w:val="14"/>
          <w:color w:val="auto"/>
        </w:rPr>
        <w:t>Based on historical premiums written in the locations noted above, the annual impact of rate changes approved for homeowners totaled $6 million in the three months ended March 31, 2019 compared to $1 million in the three months ended March 31, 2018.</w:t>
      </w:r>
    </w:p>
    <w:p>
      <w:pPr>
        <w:sectPr>
          <w:pgSz w:w="11900" w:h="16838" w:orient="portrait"/>
          <w:cols w:equalWidth="0" w:num="1">
            <w:col w:w="11420"/>
          </w:cols>
          <w:pgMar w:left="240" w:top="141" w:right="239" w:bottom="1440" w:gutter="0" w:footer="0" w:header="0"/>
          <w:type w:val="continuous"/>
        </w:sectPr>
      </w:pPr>
    </w:p>
    <w:p>
      <w:pPr>
        <w:spacing w:after="0" w:line="80"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i w:val="1"/>
          <w:iCs w:val="1"/>
          <w:color w:val="1666AF"/>
        </w:rPr>
        <w:t xml:space="preserve">Homeowners insurance premiums written </w:t>
      </w:r>
      <w:r>
        <w:rPr>
          <w:rFonts w:ascii="Arial" w:cs="Arial" w:eastAsia="Arial" w:hAnsi="Arial"/>
          <w:sz w:val="16"/>
          <w:szCs w:val="16"/>
          <w:color w:val="000000"/>
        </w:rPr>
        <w:t>totaled $86 million in both the</w:t>
      </w:r>
      <w:r>
        <w:rPr>
          <w:rFonts w:ascii="Arial" w:cs="Arial" w:eastAsia="Arial" w:hAnsi="Arial"/>
          <w:sz w:val="16"/>
          <w:szCs w:val="16"/>
          <w:i w:val="1"/>
          <w:iCs w:val="1"/>
          <w:color w:val="1666AF"/>
        </w:rPr>
        <w:t xml:space="preserve"> </w:t>
      </w:r>
      <w:r>
        <w:rPr>
          <w:rFonts w:ascii="Arial" w:cs="Arial" w:eastAsia="Arial" w:hAnsi="Arial"/>
          <w:sz w:val="16"/>
          <w:szCs w:val="16"/>
          <w:color w:val="000000"/>
        </w:rPr>
        <w:t>first quarter of 2019 and 2018. Factors impacting premiums written were:</w:t>
      </w:r>
    </w:p>
    <w:p>
      <w:pPr>
        <w:spacing w:after="0" w:line="60" w:lineRule="exact"/>
        <w:rPr>
          <w:sz w:val="20"/>
          <w:szCs w:val="20"/>
          <w:color w:val="auto"/>
        </w:rPr>
      </w:pPr>
    </w:p>
    <w:p>
      <w:pPr>
        <w:ind w:left="340" w:right="180" w:hanging="251"/>
        <w:spacing w:after="0" w:line="275" w:lineRule="auto"/>
        <w:tabs>
          <w:tab w:leader="none" w:pos="340" w:val="left"/>
        </w:tabs>
        <w:numPr>
          <w:ilvl w:val="0"/>
          <w:numId w:val="69"/>
        </w:numPr>
        <w:rPr>
          <w:rFonts w:ascii="Arial" w:cs="Arial" w:eastAsia="Arial" w:hAnsi="Arial"/>
          <w:sz w:val="16"/>
          <w:szCs w:val="16"/>
          <w:color w:val="005BA5"/>
        </w:rPr>
      </w:pPr>
      <w:r>
        <w:rPr>
          <w:rFonts w:ascii="Arial" w:cs="Arial" w:eastAsia="Arial" w:hAnsi="Arial"/>
          <w:sz w:val="16"/>
          <w:szCs w:val="16"/>
          <w:color w:val="auto"/>
        </w:rPr>
        <w:t>4.4% or 11 thousand decrease in PIF as of March 31, 2019 compared to March 31, 2018.</w:t>
      </w:r>
    </w:p>
    <w:p>
      <w:pPr>
        <w:spacing w:after="0" w:line="64" w:lineRule="exact"/>
        <w:rPr>
          <w:rFonts w:ascii="Arial" w:cs="Arial" w:eastAsia="Arial" w:hAnsi="Arial"/>
          <w:sz w:val="16"/>
          <w:szCs w:val="16"/>
          <w:color w:val="005BA5"/>
        </w:rPr>
      </w:pPr>
    </w:p>
    <w:p>
      <w:pPr>
        <w:ind w:left="340" w:right="260" w:hanging="251"/>
        <w:spacing w:after="0" w:line="261"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3.8 point increase in the renewal ratio in the first quarter of 2019 compared to the same period of 2018, as profit improvement actions have moderated.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237" w:right="300" w:hanging="237"/>
        <w:spacing w:after="0" w:line="275" w:lineRule="auto"/>
        <w:tabs>
          <w:tab w:leader="none" w:pos="237" w:val="left"/>
        </w:tabs>
        <w:numPr>
          <w:ilvl w:val="0"/>
          <w:numId w:val="70"/>
        </w:numPr>
        <w:rPr>
          <w:rFonts w:ascii="Arial" w:cs="Arial" w:eastAsia="Arial" w:hAnsi="Arial"/>
          <w:sz w:val="16"/>
          <w:szCs w:val="16"/>
          <w:color w:val="005BA5"/>
        </w:rPr>
      </w:pPr>
      <w:r>
        <w:rPr>
          <w:rFonts w:ascii="Arial" w:cs="Arial" w:eastAsia="Arial" w:hAnsi="Arial"/>
          <w:sz w:val="16"/>
          <w:szCs w:val="16"/>
          <w:color w:val="auto"/>
        </w:rPr>
        <w:t>12.5% increase in new issued applications in the first quarter of 2019 compared to the same period of 2018.</w:t>
      </w:r>
    </w:p>
    <w:p>
      <w:pPr>
        <w:spacing w:after="0" w:line="64" w:lineRule="exact"/>
        <w:rPr>
          <w:rFonts w:ascii="Arial" w:cs="Arial" w:eastAsia="Arial" w:hAnsi="Arial"/>
          <w:sz w:val="16"/>
          <w:szCs w:val="16"/>
          <w:color w:val="005BA5"/>
        </w:rPr>
      </w:pPr>
    </w:p>
    <w:p>
      <w:pPr>
        <w:ind w:left="237" w:right="60" w:hanging="237"/>
        <w:spacing w:after="0" w:line="275" w:lineRule="auto"/>
        <w:tabs>
          <w:tab w:leader="none" w:pos="237" w:val="left"/>
        </w:tabs>
        <w:numPr>
          <w:ilvl w:val="0"/>
          <w:numId w:val="70"/>
        </w:numPr>
        <w:rPr>
          <w:rFonts w:ascii="Arial" w:cs="Arial" w:eastAsia="Arial" w:hAnsi="Arial"/>
          <w:sz w:val="16"/>
          <w:szCs w:val="16"/>
          <w:color w:val="005BA5"/>
        </w:rPr>
      </w:pPr>
      <w:r>
        <w:rPr>
          <w:rFonts w:ascii="Arial" w:cs="Arial" w:eastAsia="Arial" w:hAnsi="Arial"/>
          <w:sz w:val="16"/>
          <w:szCs w:val="16"/>
          <w:color w:val="auto"/>
        </w:rPr>
        <w:t>4.1% increase in average premium in the first quarter of 2019 compared to the same period of 2018, primarily due to rate changes.</w:t>
      </w:r>
    </w:p>
    <w:p>
      <w:pPr>
        <w:spacing w:after="0" w:line="864" w:lineRule="exact"/>
        <w:rPr>
          <w:sz w:val="20"/>
          <w:szCs w:val="20"/>
          <w:color w:val="auto"/>
        </w:rPr>
      </w:pPr>
    </w:p>
    <w:p>
      <w:pPr>
        <w:sectPr>
          <w:pgSz w:w="11900" w:h="16838" w:orient="portrait"/>
          <w:cols w:equalWidth="0" w:num="2">
            <w:col w:w="5460" w:space="563"/>
            <w:col w:w="5397"/>
          </w:cols>
          <w:pgMar w:left="240" w:top="141" w:right="239" w:bottom="1440" w:gutter="0" w:footer="0" w:header="0"/>
          <w:type w:val="continuous"/>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Combined ratios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ind w:left="660"/>
              <w:spacing w:after="0"/>
              <w:rPr>
                <w:sz w:val="20"/>
                <w:szCs w:val="20"/>
                <w:color w:val="auto"/>
              </w:rPr>
            </w:pPr>
            <w:r>
              <w:rPr>
                <w:rFonts w:ascii="Arial" w:cs="Arial" w:eastAsia="Arial" w:hAnsi="Arial"/>
                <w:sz w:val="16"/>
                <w:szCs w:val="16"/>
                <w:b w:val="1"/>
                <w:bCs w:val="1"/>
                <w:color w:val="auto"/>
                <w:w w:val="88"/>
              </w:rPr>
              <w:t>Loss ratio</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4"/>
          </w:tcPr>
          <w:p>
            <w:pPr>
              <w:ind w:left="400"/>
              <w:spacing w:after="0"/>
              <w:rPr>
                <w:sz w:val="20"/>
                <w:szCs w:val="20"/>
                <w:color w:val="auto"/>
              </w:rPr>
            </w:pPr>
            <w:r>
              <w:rPr>
                <w:rFonts w:ascii="Arial" w:cs="Arial" w:eastAsia="Arial" w:hAnsi="Arial"/>
                <w:sz w:val="16"/>
                <w:szCs w:val="16"/>
                <w:b w:val="1"/>
                <w:bCs w:val="1"/>
                <w:color w:val="auto"/>
              </w:rPr>
              <w:t xml:space="preserve">Expense ratio </w:t>
            </w:r>
            <w:r>
              <w:rPr>
                <w:rFonts w:ascii="Arial" w:cs="Arial" w:eastAsia="Arial" w:hAnsi="Arial"/>
                <w:sz w:val="27"/>
                <w:szCs w:val="27"/>
                <w:color w:val="005BA5"/>
                <w:vertAlign w:val="superscript"/>
              </w:rPr>
              <w:t>(1)</w:t>
            </w:r>
          </w:p>
        </w:tc>
        <w:tc>
          <w:tcPr>
            <w:tcW w:w="192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auto"/>
              </w:rPr>
              <w:t>Combined ratio</w:t>
            </w:r>
          </w:p>
        </w:tc>
      </w:tr>
      <w:tr>
        <w:trPr>
          <w:trHeight w:val="231"/>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4"/>
              </w:rPr>
              <w:t>2018</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33"/>
        </w:trPr>
        <w:tc>
          <w:tcPr>
            <w:tcW w:w="5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6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r>
      <w:tr>
        <w:trPr>
          <w:trHeight w:val="231"/>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96.3</w:t>
            </w: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98.0</w:t>
            </w: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85.0</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104.5</w:t>
            </w:r>
          </w:p>
        </w:tc>
      </w:tr>
      <w:tr>
        <w:trPr>
          <w:trHeight w:val="33"/>
        </w:trPr>
        <w:tc>
          <w:tcPr>
            <w:tcW w:w="5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53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jc w:val="right"/>
              <w:ind w:right="39"/>
              <w:spacing w:after="0"/>
              <w:rPr>
                <w:sz w:val="20"/>
                <w:szCs w:val="20"/>
                <w:color w:val="auto"/>
              </w:rPr>
            </w:pPr>
            <w:r>
              <w:rPr>
                <w:rFonts w:ascii="Arial" w:cs="Arial" w:eastAsia="Arial" w:hAnsi="Arial"/>
                <w:sz w:val="16"/>
                <w:szCs w:val="16"/>
                <w:b w:val="1"/>
                <w:bCs w:val="1"/>
                <w:color w:val="auto"/>
              </w:rPr>
              <w:t>68.8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b w:val="1"/>
                <w:bCs w:val="1"/>
                <w:color w:val="auto"/>
              </w:rPr>
              <w:t>64.6</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32.0</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33.1</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100.8</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97.7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91"/>
        <w:spacing w:after="0"/>
        <w:tabs>
          <w:tab w:leader="none" w:pos="280" w:val="left"/>
        </w:tabs>
        <w:numPr>
          <w:ilvl w:val="0"/>
          <w:numId w:val="71"/>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operating costs and expenses in the expense ratio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Loss ratios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Effect of catastrophe losses</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1"/>
              </w:rPr>
              <w:t>Effect of prior year reserve</w:t>
            </w: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included in prior year</w:t>
            </w:r>
          </w:p>
        </w:tc>
      </w:t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ind w:left="660"/>
              <w:spacing w:after="0"/>
              <w:rPr>
                <w:sz w:val="20"/>
                <w:szCs w:val="20"/>
                <w:color w:val="auto"/>
              </w:rPr>
            </w:pPr>
            <w:r>
              <w:rPr>
                <w:rFonts w:ascii="Arial" w:cs="Arial" w:eastAsia="Arial" w:hAnsi="Arial"/>
                <w:sz w:val="16"/>
                <w:szCs w:val="16"/>
                <w:b w:val="1"/>
                <w:bCs w:val="1"/>
                <w:color w:val="auto"/>
                <w:w w:val="86"/>
              </w:rPr>
              <w:t>Loss ratio</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Effect of catastrophe losses</w:t>
            </w:r>
          </w:p>
        </w:tc>
        <w:tc>
          <w:tcPr>
            <w:tcW w:w="20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87"/>
              </w:rPr>
              <w:t>reestimates</w:t>
            </w:r>
          </w:p>
        </w:tc>
        <w:tc>
          <w:tcPr>
            <w:tcW w:w="19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reserve reestimates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b w:val="1"/>
                <w:bCs w:val="1"/>
                <w:color w:val="auto"/>
              </w:rPr>
              <w:t>2018</w:t>
            </w: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r>
      <w:tr>
        <w:trPr>
          <w:trHeight w:val="231"/>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Auto</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63.4</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Homeowners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Other personal lines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3200" w:type="dxa"/>
            <w:vAlign w:val="bottom"/>
            <w:tcBorders>
              <w:bottom w:val="single" w:sz="8" w:color="ACACAC"/>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CACAC"/>
            </w:tcBorders>
          </w:tcPr>
          <w:p>
            <w:pPr>
              <w:spacing w:after="0"/>
              <w:rPr>
                <w:sz w:val="2"/>
                <w:szCs w:val="2"/>
                <w:color w:val="auto"/>
              </w:rPr>
            </w:pPr>
          </w:p>
        </w:tc>
      </w:tr>
      <w:tr>
        <w:trPr>
          <w:trHeight w:val="21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68.8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b w:val="1"/>
                <w:bCs w:val="1"/>
                <w:color w:val="auto"/>
              </w:rPr>
              <w:t>64.6</w:t>
            </w:r>
          </w:p>
        </w:tc>
        <w:tc>
          <w:tcPr>
            <w:tcW w:w="12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11.9</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11.3</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3.1</w:t>
            </w:r>
          </w:p>
        </w:tc>
      </w:tr>
      <w:tr>
        <w:trPr>
          <w:trHeight w:val="33"/>
        </w:trPr>
        <w:tc>
          <w:tcPr>
            <w:tcW w:w="320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005BA5"/>
            </w:tcBorders>
          </w:tcPr>
          <w:p>
            <w:pPr>
              <w:spacing w:after="0"/>
              <w:rPr>
                <w:sz w:val="2"/>
                <w:szCs w:val="2"/>
                <w:color w:val="auto"/>
              </w:rPr>
            </w:pPr>
          </w:p>
        </w:tc>
      </w:tr>
    </w:tbl>
    <w:p>
      <w:pPr>
        <w:spacing w:after="0" w:line="94" w:lineRule="exact"/>
        <w:rPr>
          <w:sz w:val="20"/>
          <w:szCs w:val="20"/>
          <w:color w:val="auto"/>
        </w:rPr>
      </w:pPr>
    </w:p>
    <w:p>
      <w:pPr>
        <w:sectPr>
          <w:pgSz w:w="11900" w:h="16838" w:orient="portrait"/>
          <w:cols w:equalWidth="0" w:num="1">
            <w:col w:w="11420"/>
          </w:cols>
          <w:pgMar w:left="240" w:top="141" w:right="239" w:bottom="1440" w:gutter="0" w:footer="0" w:header="0"/>
          <w:type w:val="continuous"/>
        </w:sectPr>
      </w:pPr>
    </w:p>
    <w:p>
      <w:pPr>
        <w:ind w:firstLine="324"/>
        <w:spacing w:after="0" w:line="264" w:lineRule="auto"/>
        <w:rPr>
          <w:sz w:val="20"/>
          <w:szCs w:val="20"/>
          <w:color w:val="auto"/>
        </w:rPr>
      </w:pPr>
      <w:r>
        <w:rPr>
          <w:rFonts w:ascii="Arial" w:cs="Arial" w:eastAsia="Arial" w:hAnsi="Arial"/>
          <w:sz w:val="16"/>
          <w:szCs w:val="16"/>
          <w:i w:val="1"/>
          <w:iCs w:val="1"/>
          <w:color w:val="1666AF"/>
        </w:rPr>
        <w:t xml:space="preserve">Auto loss ratio </w:t>
      </w:r>
      <w:r>
        <w:rPr>
          <w:rFonts w:ascii="Arial" w:cs="Arial" w:eastAsia="Arial" w:hAnsi="Arial"/>
          <w:sz w:val="16"/>
          <w:szCs w:val="16"/>
          <w:color w:val="000000"/>
        </w:rPr>
        <w:t>increased 4.5 points in the first quarter of 2019</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compared to the same period of 2018, primarily due to higher catastrophes and increased claim severity.</w:t>
      </w:r>
    </w:p>
    <w:p>
      <w:pPr>
        <w:spacing w:after="0" w:line="20" w:lineRule="exact"/>
        <w:rPr>
          <w:sz w:val="20"/>
          <w:szCs w:val="20"/>
          <w:color w:val="auto"/>
        </w:rPr>
      </w:pPr>
      <w:r>
        <w:rPr>
          <w:sz w:val="20"/>
          <w:szCs w:val="20"/>
          <w:color w:val="auto"/>
        </w:rPr>
        <w:br w:type="column"/>
      </w:r>
    </w:p>
    <w:p>
      <w:pPr>
        <w:ind w:right="120" w:firstLine="324"/>
        <w:spacing w:after="0" w:line="264" w:lineRule="auto"/>
        <w:rPr>
          <w:sz w:val="20"/>
          <w:szCs w:val="20"/>
          <w:color w:val="auto"/>
        </w:rPr>
      </w:pPr>
      <w:r>
        <w:rPr>
          <w:rFonts w:ascii="Arial" w:cs="Arial" w:eastAsia="Arial" w:hAnsi="Arial"/>
          <w:sz w:val="16"/>
          <w:szCs w:val="16"/>
          <w:i w:val="1"/>
          <w:iCs w:val="1"/>
          <w:color w:val="1666AF"/>
        </w:rPr>
        <w:t xml:space="preserve">Homeowners loss ratio </w:t>
      </w:r>
      <w:r>
        <w:rPr>
          <w:rFonts w:ascii="Arial" w:cs="Arial" w:eastAsia="Arial" w:hAnsi="Arial"/>
          <w:sz w:val="16"/>
          <w:szCs w:val="16"/>
          <w:color w:val="000000"/>
        </w:rPr>
        <w:t>increased 8.4 points in the first quarter of 2019</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compared to the same period of 2018, primarily due to higher claim severities and adverse prior year reserve reestimates.</w:t>
      </w:r>
    </w:p>
    <w:p>
      <w:pPr>
        <w:spacing w:after="0" w:line="200" w:lineRule="exact"/>
        <w:rPr>
          <w:sz w:val="20"/>
          <w:szCs w:val="20"/>
          <w:color w:val="auto"/>
        </w:rPr>
      </w:pPr>
    </w:p>
    <w:p>
      <w:pPr>
        <w:sectPr>
          <w:pgSz w:w="11900" w:h="16838" w:orient="portrait"/>
          <w:cols w:equalWidth="0" w:num="2">
            <w:col w:w="5360" w:space="580"/>
            <w:col w:w="5480"/>
          </w:cols>
          <w:pgMar w:left="240" w:top="141" w:right="23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70 </w:t>
      </w:r>
      <w:r>
        <w:rPr>
          <w:sz w:val="1"/>
          <w:szCs w:val="1"/>
          <w:color w:val="auto"/>
        </w:rPr>
        <w:drawing>
          <wp:inline distT="0" distB="0" distL="0" distR="0">
            <wp:extent cx="111760" cy="11176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6"/>
          <w:szCs w:val="16"/>
          <w:color w:val="auto"/>
        </w:rPr>
        <w:t xml:space="preserve">Allstate Protection: Encompass brand </w:t>
      </w:r>
      <w:r>
        <w:rPr>
          <w:rFonts w:ascii="Arial" w:cs="Arial" w:eastAsia="Arial" w:hAnsi="Arial"/>
          <w:sz w:val="16"/>
          <w:szCs w:val="16"/>
          <w:color w:val="1666AF"/>
        </w:rPr>
        <w:t>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Expense ratios by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Homeowners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personal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Total expense ratio </w:t>
      </w:r>
      <w:r>
        <w:rPr>
          <w:rFonts w:ascii="Arial" w:cs="Arial" w:eastAsia="Arial" w:hAnsi="Arial"/>
          <w:sz w:val="22"/>
          <w:szCs w:val="22"/>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36829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52070</wp:posOffset>
            </wp:positionV>
            <wp:extent cx="87503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auto"/>
        </w:rPr>
        <w:t>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45085</wp:posOffset>
            </wp:positionV>
            <wp:extent cx="85788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3">
            <w:col w:w="8840" w:space="720"/>
            <w:col w:w="740" w:space="720"/>
            <w:col w:w="400"/>
          </w:cols>
          <w:pgMar w:left="240" w:top="141" w:right="239" w:bottom="1440" w:gutter="0" w:footer="0" w:header="0"/>
          <w:type w:val="continuous"/>
        </w:sectPr>
      </w:pPr>
    </w:p>
    <w:p>
      <w:pPr>
        <w:ind w:left="280" w:hanging="191"/>
        <w:spacing w:after="0" w:line="213" w:lineRule="auto"/>
        <w:tabs>
          <w:tab w:leader="none" w:pos="280" w:val="left"/>
        </w:tabs>
        <w:numPr>
          <w:ilvl w:val="0"/>
          <w:numId w:val="72"/>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other costs and expenses in the expense ratio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Impact of specific costs and expenses on the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 March 31,</w:t>
      </w:r>
    </w:p>
    <w:p>
      <w:pPr>
        <w:spacing w:after="0" w:line="109" w:lineRule="exact"/>
        <w:rPr>
          <w:sz w:val="20"/>
          <w:szCs w:val="20"/>
          <w:color w:val="auto"/>
        </w:rPr>
      </w:pPr>
    </w:p>
    <w:p>
      <w:pPr>
        <w:ind w:left="9120"/>
        <w:spacing w:after="0"/>
        <w:tabs>
          <w:tab w:leader="none" w:pos="10560" w:val="left"/>
        </w:tabs>
        <w:rPr>
          <w:sz w:val="20"/>
          <w:szCs w:val="20"/>
          <w:color w:val="auto"/>
        </w:rPr>
      </w:pPr>
      <w:r>
        <w:rPr>
          <w:rFonts w:ascii="Arial" w:cs="Arial" w:eastAsia="Arial" w:hAnsi="Arial"/>
          <w:sz w:val="16"/>
          <w:szCs w:val="16"/>
          <w:b w:val="1"/>
          <w:bCs w:val="1"/>
          <w:color w:val="auto"/>
        </w:rPr>
        <w:t>2019</w:t>
      </w:r>
      <w:r>
        <w:rPr>
          <w:sz w:val="20"/>
          <w:szCs w:val="20"/>
          <w:color w:val="auto"/>
        </w:rPr>
        <w:tab/>
      </w:r>
      <w:r>
        <w:rPr>
          <w:rFonts w:ascii="Arial" w:cs="Arial" w:eastAsia="Arial" w:hAnsi="Arial"/>
          <w:sz w:val="16"/>
          <w:szCs w:val="16"/>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Advertising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36829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color w:val="auto"/>
        </w:rPr>
        <w:t xml:space="preserve">Other costs and expenses </w:t>
      </w:r>
      <w:r>
        <w:rPr>
          <w:rFonts w:ascii="Arial" w:cs="Arial" w:eastAsia="Arial" w:hAnsi="Arial"/>
          <w:sz w:val="27"/>
          <w:szCs w:val="27"/>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536829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Restructuring and related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536829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expense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53682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right"/>
        <w:ind w:right="460"/>
        <w:spacing w:after="0"/>
        <w:rPr>
          <w:sz w:val="20"/>
          <w:szCs w:val="20"/>
          <w:color w:val="auto"/>
        </w:rPr>
      </w:pPr>
      <w:r>
        <w:rPr>
          <w:rFonts w:ascii="Arial" w:cs="Arial" w:eastAsia="Arial" w:hAnsi="Arial"/>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jc w:val="right"/>
        <w:ind w:right="4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34925</wp:posOffset>
            </wp:positionV>
            <wp:extent cx="87503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6" w:lineRule="exact"/>
        <w:rPr>
          <w:sz w:val="20"/>
          <w:szCs w:val="20"/>
          <w:color w:val="auto"/>
        </w:rPr>
      </w:pPr>
    </w:p>
    <w:p>
      <w:pPr>
        <w:jc w:val="right"/>
        <w:ind w:right="460"/>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49530</wp:posOffset>
            </wp:positionV>
            <wp:extent cx="87503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89" w:lineRule="exact"/>
        <w:rPr>
          <w:sz w:val="20"/>
          <w:szCs w:val="20"/>
          <w:color w:val="auto"/>
        </w:rPr>
      </w:pPr>
    </w:p>
    <w:p>
      <w:pPr>
        <w:jc w:val="right"/>
        <w:ind w:right="460"/>
        <w:spacing w:after="0"/>
        <w:rPr>
          <w:sz w:val="20"/>
          <w:szCs w:val="20"/>
          <w:color w:val="auto"/>
        </w:rPr>
      </w:pPr>
      <w:r>
        <w:rPr>
          <w:rFonts w:ascii="Arial" w:cs="Arial" w:eastAsia="Arial" w:hAnsi="Arial"/>
          <w:sz w:val="16"/>
          <w:szCs w:val="16"/>
          <w:color w:val="auto"/>
        </w:rPr>
        <w:t>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34925</wp:posOffset>
            </wp:positionV>
            <wp:extent cx="87503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62" w:lineRule="exact"/>
        <w:rPr>
          <w:sz w:val="20"/>
          <w:szCs w:val="20"/>
          <w:color w:val="auto"/>
        </w:rPr>
      </w:pPr>
    </w:p>
    <w:p>
      <w:pPr>
        <w:jc w:val="right"/>
        <w:ind w:right="460"/>
        <w:spacing w:after="0"/>
        <w:rPr>
          <w:sz w:val="20"/>
          <w:szCs w:val="20"/>
          <w:color w:val="auto"/>
        </w:rPr>
      </w:pPr>
      <w:r>
        <w:rPr>
          <w:rFonts w:ascii="Arial" w:cs="Arial" w:eastAsia="Arial" w:hAnsi="Arial"/>
          <w:sz w:val="14"/>
          <w:szCs w:val="14"/>
          <w:b w:val="1"/>
          <w:bCs w:val="1"/>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52070</wp:posOffset>
            </wp:positionV>
            <wp:extent cx="87503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34925</wp:posOffset>
            </wp:positionV>
            <wp:extent cx="85788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6" w:lineRule="exact"/>
        <w:rPr>
          <w:sz w:val="20"/>
          <w:szCs w:val="20"/>
          <w:color w:val="auto"/>
        </w:rPr>
      </w:pPr>
    </w:p>
    <w:p>
      <w:pPr>
        <w:jc w:val="right"/>
        <w:ind w:right="100"/>
        <w:spacing w:after="0"/>
        <w:rPr>
          <w:sz w:val="20"/>
          <w:szCs w:val="20"/>
          <w:color w:val="auto"/>
        </w:rPr>
      </w:pPr>
      <w:r>
        <w:rPr>
          <w:rFonts w:ascii="Arial" w:cs="Arial" w:eastAsia="Arial" w:hAnsi="Arial"/>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42545</wp:posOffset>
            </wp:positionV>
            <wp:extent cx="85788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78" w:lineRule="exact"/>
        <w:rPr>
          <w:sz w:val="20"/>
          <w:szCs w:val="20"/>
          <w:color w:val="auto"/>
        </w:rPr>
      </w:pPr>
    </w:p>
    <w:p>
      <w:pPr>
        <w:jc w:val="right"/>
        <w:ind w:right="1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34925</wp:posOffset>
            </wp:positionV>
            <wp:extent cx="85788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62" w:lineRule="exact"/>
        <w:rPr>
          <w:sz w:val="20"/>
          <w:szCs w:val="20"/>
          <w:color w:val="auto"/>
        </w:rPr>
      </w:pPr>
    </w:p>
    <w:p>
      <w:pPr>
        <w:jc w:val="right"/>
        <w:ind w:right="100"/>
        <w:spacing w:after="0"/>
        <w:rPr>
          <w:sz w:val="20"/>
          <w:szCs w:val="20"/>
          <w:color w:val="auto"/>
        </w:rPr>
      </w:pPr>
      <w:r>
        <w:rPr>
          <w:rFonts w:ascii="Arial" w:cs="Arial" w:eastAsia="Arial" w:hAnsi="Arial"/>
          <w:sz w:val="15"/>
          <w:szCs w:val="15"/>
          <w:b w:val="1"/>
          <w:bCs w:val="1"/>
          <w:color w:val="auto"/>
        </w:rPr>
        <w:t>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45085</wp:posOffset>
            </wp:positionV>
            <wp:extent cx="85788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05" w:lineRule="exact"/>
        <w:rPr>
          <w:sz w:val="20"/>
          <w:szCs w:val="20"/>
          <w:color w:val="auto"/>
        </w:rPr>
      </w:pPr>
    </w:p>
    <w:p>
      <w:pPr>
        <w:sectPr>
          <w:pgSz w:w="11900" w:h="16838" w:orient="portrait"/>
          <w:cols w:equalWidth="0" w:num="3">
            <w:col w:w="8840" w:space="720"/>
            <w:col w:w="740" w:space="720"/>
            <w:col w:w="400"/>
          </w:cols>
          <w:pgMar w:left="240" w:top="141" w:right="239" w:bottom="1440" w:gutter="0" w:footer="0" w:header="0"/>
          <w:type w:val="continuous"/>
        </w:sectPr>
      </w:pPr>
    </w:p>
    <w:p>
      <w:pPr>
        <w:ind w:left="280" w:hanging="191"/>
        <w:spacing w:after="0"/>
        <w:tabs>
          <w:tab w:leader="none" w:pos="280" w:val="left"/>
        </w:tabs>
        <w:numPr>
          <w:ilvl w:val="0"/>
          <w:numId w:val="73"/>
        </w:numPr>
        <w:rPr>
          <w:rFonts w:ascii="Arial" w:cs="Arial" w:eastAsia="Arial" w:hAnsi="Arial"/>
          <w:sz w:val="23"/>
          <w:szCs w:val="23"/>
          <w:color w:val="005BA5"/>
          <w:vertAlign w:val="superscript"/>
        </w:rPr>
      </w:pPr>
      <w:r>
        <w:rPr>
          <w:rFonts w:ascii="Arial" w:cs="Arial" w:eastAsia="Arial" w:hAnsi="Arial"/>
          <w:sz w:val="14"/>
          <w:szCs w:val="14"/>
          <w:color w:val="auto"/>
        </w:rPr>
        <w:t>Other revenue is deducted from other costs and expenses in the expense ratio calculation.</w:t>
      </w:r>
    </w:p>
    <w:p>
      <w:pPr>
        <w:spacing w:after="0" w:line="95" w:lineRule="exact"/>
        <w:rPr>
          <w:sz w:val="20"/>
          <w:szCs w:val="20"/>
          <w:color w:val="auto"/>
        </w:rPr>
      </w:pPr>
    </w:p>
    <w:p>
      <w:pPr>
        <w:ind w:right="720" w:firstLine="324"/>
        <w:spacing w:after="0" w:line="260" w:lineRule="auto"/>
        <w:rPr>
          <w:sz w:val="20"/>
          <w:szCs w:val="20"/>
          <w:color w:val="auto"/>
        </w:rPr>
      </w:pPr>
      <w:r>
        <w:rPr>
          <w:rFonts w:ascii="Arial" w:cs="Arial" w:eastAsia="Arial" w:hAnsi="Arial"/>
          <w:sz w:val="16"/>
          <w:szCs w:val="16"/>
          <w:i w:val="1"/>
          <w:iCs w:val="1"/>
          <w:color w:val="1666AF"/>
        </w:rPr>
        <w:t xml:space="preserve">Expense ratio </w:t>
      </w:r>
      <w:r>
        <w:rPr>
          <w:rFonts w:ascii="Arial" w:cs="Arial" w:eastAsia="Arial" w:hAnsi="Arial"/>
          <w:sz w:val="16"/>
          <w:szCs w:val="16"/>
          <w:color w:val="000000"/>
        </w:rPr>
        <w:t>decreased 1.1 points in the first quarter of 2019 compared to the same period of 2018, primarily due to lower technology costs and</w:t>
      </w:r>
      <w:r>
        <w:rPr>
          <w:rFonts w:ascii="Arial" w:cs="Arial" w:eastAsia="Arial" w:hAnsi="Arial"/>
          <w:sz w:val="16"/>
          <w:szCs w:val="16"/>
          <w:i w:val="1"/>
          <w:iCs w:val="1"/>
          <w:color w:val="1666AF"/>
        </w:rPr>
        <w:t xml:space="preserve"> </w:t>
      </w:r>
      <w:r>
        <w:rPr>
          <w:rFonts w:ascii="Arial" w:cs="Arial" w:eastAsia="Arial" w:hAnsi="Arial"/>
          <w:sz w:val="16"/>
          <w:szCs w:val="16"/>
          <w:color w:val="000000"/>
        </w:rPr>
        <w:t>employee-related compensation costs.</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71</w:t>
      </w:r>
    </w:p>
    <w:p>
      <w:pPr>
        <w:sectPr>
          <w:pgSz w:w="11900" w:h="16838" w:orient="portrait"/>
          <w:cols w:equalWidth="0" w:num="1">
            <w:col w:w="11420"/>
          </w:cols>
          <w:pgMar w:left="240" w:top="141" w:right="2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6"/>
          <w:szCs w:val="16"/>
          <w:color w:val="1666AF"/>
        </w:rPr>
        <w:t xml:space="preserve">Segment Results </w:t>
      </w:r>
      <w:r>
        <w:rPr>
          <w:rFonts w:ascii="Arial" w:cs="Arial" w:eastAsia="Arial" w:hAnsi="Arial"/>
          <w:sz w:val="16"/>
          <w:szCs w:val="16"/>
          <w:color w:val="000000"/>
        </w:rPr>
        <w:t>Discontinued Lines and Coverages</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Discontinued Lines and Coverages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20"/>
                <w:szCs w:val="20"/>
                <w:color w:val="auto"/>
              </w:rPr>
            </w:pPr>
          </w:p>
        </w:tc>
        <w:tc>
          <w:tcPr>
            <w:tcW w:w="26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49"/>
        </w:trPr>
        <w:tc>
          <w:tcPr>
            <w:tcW w:w="8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Claims and claims expense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costs and expenses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Underwriting loss</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1666AF"/>
        </w:rPr>
        <w:t xml:space="preserve">Underwriting loss </w:t>
      </w:r>
      <w:r>
        <w:rPr>
          <w:rFonts w:ascii="Arial" w:cs="Arial" w:eastAsia="Arial" w:hAnsi="Arial"/>
          <w:sz w:val="16"/>
          <w:szCs w:val="16"/>
          <w:color w:val="000000"/>
        </w:rPr>
        <w:t>totaled $3 million in both the first quarter of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Reserves for asbestos, environmental and other discontinued lines claims before and after the effects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bottom w:val="single" w:sz="8" w:color="005BA5"/>
            </w:tcBorders>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00" w:type="dxa"/>
            <w:vAlign w:val="bottom"/>
            <w:tcBorders>
              <w:bottom w:val="single" w:sz="8" w:color="005BA5"/>
            </w:tcBorders>
          </w:tcPr>
          <w:p>
            <w:pPr>
              <w:spacing w:after="0"/>
              <w:rPr>
                <w:sz w:val="20"/>
                <w:szCs w:val="20"/>
                <w:color w:val="auto"/>
              </w:rPr>
            </w:pPr>
          </w:p>
        </w:tc>
        <w:tc>
          <w:tcPr>
            <w:tcW w:w="1780" w:type="dxa"/>
            <w:vAlign w:val="bottom"/>
            <w:tcBorders>
              <w:bottom w:val="single" w:sz="8" w:color="005BA5"/>
            </w:tcBorders>
          </w:tcPr>
          <w:p>
            <w:pPr>
              <w:jc w:val="right"/>
              <w:ind w:right="41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Pr>
          <w:p>
            <w:pPr>
              <w:spacing w:after="0"/>
              <w:rPr>
                <w:sz w:val="20"/>
                <w:szCs w:val="20"/>
                <w:color w:val="auto"/>
              </w:rPr>
            </w:pPr>
          </w:p>
        </w:tc>
        <w:tc>
          <w:tcPr>
            <w:tcW w:w="240" w:type="dxa"/>
            <w:vAlign w:val="bottom"/>
            <w:tcBorders>
              <w:bottom w:val="single" w:sz="8" w:color="005BA5"/>
            </w:tcBorders>
          </w:tcPr>
          <w:p>
            <w:pPr>
              <w:spacing w:after="0"/>
              <w:rPr>
                <w:sz w:val="20"/>
                <w:szCs w:val="20"/>
                <w:color w:val="auto"/>
              </w:rPr>
            </w:pPr>
          </w:p>
        </w:tc>
        <w:tc>
          <w:tcPr>
            <w:tcW w:w="1800" w:type="dxa"/>
            <w:vAlign w:val="bottom"/>
            <w:tcBorders>
              <w:bottom w:val="single" w:sz="8" w:color="005BA5"/>
            </w:tcBorders>
          </w:tcPr>
          <w:p>
            <w:pPr>
              <w:jc w:val="right"/>
              <w:ind w:right="279"/>
              <w:spacing w:after="0"/>
              <w:rPr>
                <w:sz w:val="20"/>
                <w:szCs w:val="20"/>
                <w:color w:val="auto"/>
              </w:rPr>
            </w:pPr>
            <w:r>
              <w:rPr>
                <w:rFonts w:ascii="Arial" w:cs="Arial" w:eastAsia="Arial" w:hAnsi="Arial"/>
                <w:sz w:val="16"/>
                <w:szCs w:val="16"/>
                <w:b w:val="1"/>
                <w:bCs w:val="1"/>
                <w:color w:val="auto"/>
                <w:w w:val="98"/>
              </w:rPr>
              <w:t>December 31, 2018</w:t>
            </w:r>
          </w:p>
        </w:tc>
      </w:tr>
      <w:tr>
        <w:trPr>
          <w:trHeight w:val="237"/>
        </w:trPr>
        <w:tc>
          <w:tcPr>
            <w:tcW w:w="7200" w:type="dxa"/>
            <w:vAlign w:val="bottom"/>
            <w:gridSpan w:val="3"/>
          </w:tcPr>
          <w:p>
            <w:pPr>
              <w:ind w:left="40"/>
              <w:spacing w:after="0"/>
              <w:rPr>
                <w:sz w:val="20"/>
                <w:szCs w:val="20"/>
                <w:color w:val="auto"/>
              </w:rPr>
            </w:pPr>
            <w:r>
              <w:rPr>
                <w:rFonts w:ascii="Arial" w:cs="Arial" w:eastAsia="Arial" w:hAnsi="Arial"/>
                <w:sz w:val="16"/>
                <w:szCs w:val="16"/>
                <w:b w:val="1"/>
                <w:bCs w:val="1"/>
                <w:color w:val="auto"/>
              </w:rPr>
              <w:t>Asbestos claims</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3"/>
        </w:trPr>
        <w:tc>
          <w:tcPr>
            <w:tcW w:w="708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3"/>
          </w:tcPr>
          <w:p>
            <w:pPr>
              <w:ind w:left="180"/>
              <w:spacing w:after="0"/>
              <w:rPr>
                <w:sz w:val="20"/>
                <w:szCs w:val="20"/>
                <w:color w:val="auto"/>
              </w:rPr>
            </w:pPr>
            <w:r>
              <w:rPr>
                <w:rFonts w:ascii="Arial" w:cs="Arial" w:eastAsia="Arial" w:hAnsi="Arial"/>
                <w:sz w:val="16"/>
                <w:szCs w:val="16"/>
                <w:color w:val="auto"/>
              </w:rPr>
              <w:t>Gross reserves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1,236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1,266</w:t>
            </w:r>
          </w:p>
        </w:tc>
      </w:tr>
      <w:tr>
        <w:trPr>
          <w:trHeight w:val="33"/>
        </w:trPr>
        <w:tc>
          <w:tcPr>
            <w:tcW w:w="708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3"/>
          </w:tcPr>
          <w:p>
            <w:pPr>
              <w:ind w:left="180"/>
              <w:spacing w:after="0"/>
              <w:rPr>
                <w:sz w:val="20"/>
                <w:szCs w:val="20"/>
                <w:color w:val="auto"/>
              </w:rPr>
            </w:pPr>
            <w:r>
              <w:rPr>
                <w:rFonts w:ascii="Arial" w:cs="Arial" w:eastAsia="Arial" w:hAnsi="Arial"/>
                <w:sz w:val="16"/>
                <w:szCs w:val="16"/>
                <w:color w:val="auto"/>
              </w:rPr>
              <w:t>Reinsurance</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33"/>
        </w:trPr>
        <w:tc>
          <w:tcPr>
            <w:tcW w:w="240" w:type="dxa"/>
            <w:vAlign w:val="bottom"/>
            <w:tcBorders>
              <w:bottom w:val="single" w:sz="8" w:color="005BA5"/>
            </w:tcBorders>
          </w:tcPr>
          <w:p>
            <w:pPr>
              <w:spacing w:after="0"/>
              <w:rPr>
                <w:sz w:val="2"/>
                <w:szCs w:val="2"/>
                <w:color w:val="auto"/>
              </w:rPr>
            </w:pPr>
          </w:p>
        </w:tc>
        <w:tc>
          <w:tcPr>
            <w:tcW w:w="6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6960" w:type="dxa"/>
            <w:vAlign w:val="bottom"/>
            <w:gridSpan w:val="2"/>
          </w:tcPr>
          <w:p>
            <w:pPr>
              <w:ind w:left="40"/>
              <w:spacing w:after="0"/>
              <w:rPr>
                <w:sz w:val="20"/>
                <w:szCs w:val="20"/>
                <w:color w:val="auto"/>
              </w:rPr>
            </w:pPr>
            <w:r>
              <w:rPr>
                <w:rFonts w:ascii="Arial" w:cs="Arial" w:eastAsia="Arial" w:hAnsi="Arial"/>
                <w:sz w:val="16"/>
                <w:szCs w:val="16"/>
                <w:color w:val="auto"/>
              </w:rPr>
              <w:t>Net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866</w:t>
            </w:r>
          </w:p>
        </w:tc>
      </w:tr>
      <w:tr>
        <w:trPr>
          <w:trHeight w:val="33"/>
        </w:trPr>
        <w:tc>
          <w:tcPr>
            <w:tcW w:w="708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31"/>
        </w:trPr>
        <w:tc>
          <w:tcPr>
            <w:tcW w:w="7200" w:type="dxa"/>
            <w:vAlign w:val="bottom"/>
            <w:gridSpan w:val="3"/>
          </w:tcPr>
          <w:p>
            <w:pPr>
              <w:ind w:left="40"/>
              <w:spacing w:after="0"/>
              <w:rPr>
                <w:sz w:val="20"/>
                <w:szCs w:val="20"/>
                <w:color w:val="auto"/>
              </w:rPr>
            </w:pPr>
            <w:r>
              <w:rPr>
                <w:rFonts w:ascii="Arial" w:cs="Arial" w:eastAsia="Arial" w:hAnsi="Arial"/>
                <w:sz w:val="16"/>
                <w:szCs w:val="16"/>
                <w:b w:val="1"/>
                <w:bCs w:val="1"/>
                <w:color w:val="auto"/>
              </w:rPr>
              <w:t>Environmental claims</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3"/>
        </w:trPr>
        <w:tc>
          <w:tcPr>
            <w:tcW w:w="708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3"/>
          </w:tcPr>
          <w:p>
            <w:pPr>
              <w:ind w:left="180"/>
              <w:spacing w:after="0"/>
              <w:rPr>
                <w:sz w:val="20"/>
                <w:szCs w:val="20"/>
                <w:color w:val="auto"/>
              </w:rPr>
            </w:pPr>
            <w:r>
              <w:rPr>
                <w:rFonts w:ascii="Arial" w:cs="Arial" w:eastAsia="Arial" w:hAnsi="Arial"/>
                <w:sz w:val="16"/>
                <w:szCs w:val="16"/>
                <w:color w:val="auto"/>
              </w:rPr>
              <w:t>Gross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209</w:t>
            </w:r>
          </w:p>
        </w:tc>
      </w:tr>
      <w:tr>
        <w:trPr>
          <w:trHeight w:val="33"/>
        </w:trPr>
        <w:tc>
          <w:tcPr>
            <w:tcW w:w="708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3"/>
          </w:tcPr>
          <w:p>
            <w:pPr>
              <w:ind w:left="180"/>
              <w:spacing w:after="0"/>
              <w:rPr>
                <w:sz w:val="20"/>
                <w:szCs w:val="20"/>
                <w:color w:val="auto"/>
              </w:rPr>
            </w:pPr>
            <w:r>
              <w:rPr>
                <w:rFonts w:ascii="Arial" w:cs="Arial" w:eastAsia="Arial" w:hAnsi="Arial"/>
                <w:sz w:val="16"/>
                <w:szCs w:val="16"/>
                <w:color w:val="auto"/>
              </w:rPr>
              <w:t>Reinsurance</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240" w:type="dxa"/>
            <w:vAlign w:val="bottom"/>
            <w:tcBorders>
              <w:bottom w:val="single" w:sz="8" w:color="005BA5"/>
            </w:tcBorders>
          </w:tcPr>
          <w:p>
            <w:pPr>
              <w:spacing w:after="0"/>
              <w:rPr>
                <w:sz w:val="2"/>
                <w:szCs w:val="2"/>
                <w:color w:val="auto"/>
              </w:rPr>
            </w:pPr>
          </w:p>
        </w:tc>
        <w:tc>
          <w:tcPr>
            <w:tcW w:w="6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6960" w:type="dxa"/>
            <w:vAlign w:val="bottom"/>
            <w:gridSpan w:val="2"/>
          </w:tcPr>
          <w:p>
            <w:pPr>
              <w:ind w:left="40"/>
              <w:spacing w:after="0"/>
              <w:rPr>
                <w:sz w:val="20"/>
                <w:szCs w:val="20"/>
                <w:color w:val="auto"/>
              </w:rPr>
            </w:pPr>
            <w:r>
              <w:rPr>
                <w:rFonts w:ascii="Arial" w:cs="Arial" w:eastAsia="Arial" w:hAnsi="Arial"/>
                <w:sz w:val="16"/>
                <w:szCs w:val="16"/>
                <w:color w:val="auto"/>
              </w:rPr>
              <w:t>Net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170</w:t>
            </w:r>
          </w:p>
        </w:tc>
      </w:tr>
      <w:tr>
        <w:trPr>
          <w:trHeight w:val="33"/>
        </w:trPr>
        <w:tc>
          <w:tcPr>
            <w:tcW w:w="708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31"/>
        </w:trPr>
        <w:tc>
          <w:tcPr>
            <w:tcW w:w="720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discontinued lines</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3"/>
        </w:trPr>
        <w:tc>
          <w:tcPr>
            <w:tcW w:w="708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3"/>
          </w:tcPr>
          <w:p>
            <w:pPr>
              <w:ind w:left="180"/>
              <w:spacing w:after="0"/>
              <w:rPr>
                <w:sz w:val="20"/>
                <w:szCs w:val="20"/>
                <w:color w:val="auto"/>
              </w:rPr>
            </w:pPr>
            <w:r>
              <w:rPr>
                <w:rFonts w:ascii="Arial" w:cs="Arial" w:eastAsia="Arial" w:hAnsi="Arial"/>
                <w:sz w:val="16"/>
                <w:szCs w:val="16"/>
                <w:color w:val="auto"/>
              </w:rPr>
              <w:t>Gross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389</w:t>
            </w:r>
          </w:p>
        </w:tc>
      </w:tr>
      <w:tr>
        <w:trPr>
          <w:trHeight w:val="33"/>
        </w:trPr>
        <w:tc>
          <w:tcPr>
            <w:tcW w:w="708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3"/>
          </w:tcPr>
          <w:p>
            <w:pPr>
              <w:ind w:left="180"/>
              <w:spacing w:after="0"/>
              <w:rPr>
                <w:sz w:val="20"/>
                <w:szCs w:val="20"/>
                <w:color w:val="auto"/>
              </w:rPr>
            </w:pPr>
            <w:r>
              <w:rPr>
                <w:rFonts w:ascii="Arial" w:cs="Arial" w:eastAsia="Arial" w:hAnsi="Arial"/>
                <w:sz w:val="16"/>
                <w:szCs w:val="16"/>
                <w:color w:val="auto"/>
              </w:rPr>
              <w:t>Reinsurance</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33"/>
        </w:trPr>
        <w:tc>
          <w:tcPr>
            <w:tcW w:w="240" w:type="dxa"/>
            <w:vAlign w:val="bottom"/>
            <w:tcBorders>
              <w:bottom w:val="single" w:sz="8" w:color="005BA5"/>
            </w:tcBorders>
          </w:tcPr>
          <w:p>
            <w:pPr>
              <w:spacing w:after="0"/>
              <w:rPr>
                <w:sz w:val="2"/>
                <w:szCs w:val="2"/>
                <w:color w:val="auto"/>
              </w:rPr>
            </w:pPr>
          </w:p>
        </w:tc>
        <w:tc>
          <w:tcPr>
            <w:tcW w:w="6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6960" w:type="dxa"/>
            <w:vAlign w:val="bottom"/>
            <w:gridSpan w:val="2"/>
          </w:tcPr>
          <w:p>
            <w:pPr>
              <w:ind w:left="40"/>
              <w:spacing w:after="0"/>
              <w:rPr>
                <w:sz w:val="20"/>
                <w:szCs w:val="20"/>
                <w:color w:val="auto"/>
              </w:rPr>
            </w:pPr>
            <w:r>
              <w:rPr>
                <w:rFonts w:ascii="Arial" w:cs="Arial" w:eastAsia="Arial" w:hAnsi="Arial"/>
                <w:sz w:val="16"/>
                <w:szCs w:val="16"/>
                <w:color w:val="auto"/>
              </w:rPr>
              <w:t>Net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355</w:t>
            </w:r>
          </w:p>
        </w:tc>
      </w:tr>
      <w:tr>
        <w:trPr>
          <w:trHeight w:val="33"/>
        </w:trPr>
        <w:tc>
          <w:tcPr>
            <w:tcW w:w="708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720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33"/>
        </w:trPr>
        <w:tc>
          <w:tcPr>
            <w:tcW w:w="708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3"/>
          </w:tcPr>
          <w:p>
            <w:pPr>
              <w:ind w:left="180"/>
              <w:spacing w:after="0"/>
              <w:rPr>
                <w:sz w:val="20"/>
                <w:szCs w:val="20"/>
                <w:color w:val="auto"/>
              </w:rPr>
            </w:pPr>
            <w:r>
              <w:rPr>
                <w:rFonts w:ascii="Arial" w:cs="Arial" w:eastAsia="Arial" w:hAnsi="Arial"/>
                <w:sz w:val="16"/>
                <w:szCs w:val="16"/>
                <w:color w:val="auto"/>
              </w:rPr>
              <w:t>Gross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1,864</w:t>
            </w:r>
          </w:p>
        </w:tc>
      </w:tr>
      <w:tr>
        <w:trPr>
          <w:trHeight w:val="33"/>
        </w:trPr>
        <w:tc>
          <w:tcPr>
            <w:tcW w:w="7080" w:type="dxa"/>
            <w:vAlign w:val="bottom"/>
            <w:tcBorders>
              <w:bottom w:val="single" w:sz="8" w:color="ACACAC"/>
            </w:tcBorders>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3"/>
          </w:tcPr>
          <w:p>
            <w:pPr>
              <w:ind w:left="180"/>
              <w:spacing w:after="0"/>
              <w:rPr>
                <w:sz w:val="20"/>
                <w:szCs w:val="20"/>
                <w:color w:val="auto"/>
              </w:rPr>
            </w:pPr>
            <w:r>
              <w:rPr>
                <w:rFonts w:ascii="Arial" w:cs="Arial" w:eastAsia="Arial" w:hAnsi="Arial"/>
                <w:sz w:val="16"/>
                <w:szCs w:val="16"/>
                <w:color w:val="auto"/>
              </w:rPr>
              <w:t>Reinsurance</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33"/>
        </w:trPr>
        <w:tc>
          <w:tcPr>
            <w:tcW w:w="240" w:type="dxa"/>
            <w:vAlign w:val="bottom"/>
            <w:tcBorders>
              <w:bottom w:val="single" w:sz="8" w:color="005BA5"/>
            </w:tcBorders>
          </w:tcPr>
          <w:p>
            <w:pPr>
              <w:spacing w:after="0"/>
              <w:rPr>
                <w:sz w:val="2"/>
                <w:szCs w:val="2"/>
                <w:color w:val="auto"/>
              </w:rPr>
            </w:pPr>
          </w:p>
        </w:tc>
        <w:tc>
          <w:tcPr>
            <w:tcW w:w="6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240" w:type="dxa"/>
            <w:vAlign w:val="bottom"/>
          </w:tcPr>
          <w:p>
            <w:pPr>
              <w:spacing w:after="0"/>
              <w:rPr>
                <w:sz w:val="18"/>
                <w:szCs w:val="18"/>
                <w:color w:val="auto"/>
              </w:rPr>
            </w:pPr>
          </w:p>
        </w:tc>
        <w:tc>
          <w:tcPr>
            <w:tcW w:w="696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reserves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b w:val="1"/>
                <w:bCs w:val="1"/>
                <w:color w:val="auto"/>
              </w:rPr>
              <w:t>1,364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1,391</w:t>
            </w:r>
          </w:p>
        </w:tc>
      </w:tr>
      <w:tr>
        <w:trPr>
          <w:trHeight w:val="33"/>
        </w:trPr>
        <w:tc>
          <w:tcPr>
            <w:tcW w:w="240" w:type="dxa"/>
            <w:vAlign w:val="bottom"/>
            <w:tcBorders>
              <w:bottom w:val="single" w:sz="8" w:color="005BA5"/>
            </w:tcBorders>
          </w:tcPr>
          <w:p>
            <w:pPr>
              <w:spacing w:after="0"/>
              <w:rPr>
                <w:sz w:val="2"/>
                <w:szCs w:val="2"/>
                <w:color w:val="auto"/>
              </w:rPr>
            </w:pPr>
          </w:p>
        </w:tc>
        <w:tc>
          <w:tcPr>
            <w:tcW w:w="6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514"/>
        </w:trPr>
        <w:tc>
          <w:tcPr>
            <w:tcW w:w="240" w:type="dxa"/>
            <w:vAlign w:val="bottom"/>
          </w:tcPr>
          <w:p>
            <w:pPr>
              <w:spacing w:after="0"/>
              <w:rPr>
                <w:sz w:val="20"/>
                <w:szCs w:val="20"/>
                <w:color w:val="auto"/>
              </w:rPr>
            </w:pPr>
            <w:r>
              <w:rPr>
                <w:rFonts w:ascii="Arial" w:cs="Arial" w:eastAsia="Arial" w:hAnsi="Arial"/>
                <w:sz w:val="16"/>
                <w:szCs w:val="16"/>
                <w:color w:val="1666AF"/>
              </w:rPr>
              <w:t>72</w:t>
            </w:r>
          </w:p>
        </w:tc>
        <w:tc>
          <w:tcPr>
            <w:tcW w:w="6960" w:type="dxa"/>
            <w:vAlign w:val="bottom"/>
            <w:gridSpan w:val="2"/>
          </w:tcPr>
          <w:p>
            <w:pPr>
              <w:ind w:left="220"/>
              <w:spacing w:after="0"/>
              <w:rPr>
                <w:sz w:val="20"/>
                <w:szCs w:val="20"/>
                <w:color w:val="auto"/>
              </w:rPr>
            </w:pPr>
            <w:r>
              <w:rPr>
                <w:rFonts w:ascii="Arial" w:cs="Arial" w:eastAsia="Arial" w:hAnsi="Arial"/>
                <w:sz w:val="16"/>
                <w:szCs w:val="16"/>
                <w:color w:val="auto"/>
              </w:rPr>
              <w:t>www.allstate.com</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-141605</wp:posOffset>
            </wp:positionV>
            <wp:extent cx="111760" cy="11176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76" w:name="page77"/>
    <w:bookmarkEnd w:id="76"/>
    <w:p>
      <w:pPr>
        <w:ind w:left="7620"/>
        <w:spacing w:after="0"/>
        <w:rPr>
          <w:sz w:val="20"/>
          <w:szCs w:val="20"/>
          <w:color w:val="auto"/>
        </w:rPr>
      </w:pPr>
      <w:r>
        <w:rPr>
          <w:rFonts w:ascii="Arial" w:cs="Arial" w:eastAsia="Arial" w:hAnsi="Arial"/>
          <w:sz w:val="16"/>
          <w:szCs w:val="16"/>
          <w:color w:val="auto"/>
        </w:rPr>
        <w:t xml:space="preserve">Discontinued Lines and Coverages </w:t>
      </w:r>
      <w:r>
        <w:rPr>
          <w:rFonts w:ascii="Arial" w:cs="Arial" w:eastAsia="Arial" w:hAnsi="Arial"/>
          <w:sz w:val="16"/>
          <w:szCs w:val="16"/>
          <w:color w:val="1666AF"/>
        </w:rPr>
        <w:t>Segment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Reserves by type of exposure before and after the effects of reinsurance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0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00" w:type="dxa"/>
            <w:vAlign w:val="bottom"/>
          </w:tcPr>
          <w:p>
            <w:pPr>
              <w:spacing w:after="0"/>
              <w:rPr>
                <w:sz w:val="20"/>
                <w:szCs w:val="20"/>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20"/>
                <w:szCs w:val="20"/>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2018</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31"/>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Direct excess commercial insurance</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50"/>
        </w:trPr>
        <w:tc>
          <w:tcPr>
            <w:tcW w:w="7080" w:type="dxa"/>
            <w:vAlign w:val="bottom"/>
            <w:tcBorders>
              <w:bottom w:val="single" w:sz="8" w:color="ACACAC"/>
            </w:tcBorders>
          </w:tcPr>
          <w:p>
            <w:pPr>
              <w:ind w:left="200"/>
              <w:spacing w:after="0" w:line="250" w:lineRule="exact"/>
              <w:rPr>
                <w:sz w:val="20"/>
                <w:szCs w:val="20"/>
                <w:color w:val="auto"/>
              </w:rPr>
            </w:pPr>
            <w:r>
              <w:rPr>
                <w:rFonts w:ascii="Arial" w:cs="Arial" w:eastAsia="Arial" w:hAnsi="Arial"/>
                <w:sz w:val="16"/>
                <w:szCs w:val="16"/>
                <w:color w:val="auto"/>
              </w:rPr>
              <w:t xml:space="preserve">Gross reserves </w:t>
            </w:r>
            <w:r>
              <w:rPr>
                <w:rFonts w:ascii="Arial" w:cs="Arial" w:eastAsia="Arial" w:hAnsi="Arial"/>
                <w:sz w:val="23"/>
                <w:szCs w:val="23"/>
                <w:color w:val="005BA5"/>
                <w:vertAlign w:val="superscript"/>
              </w:rPr>
              <w:t>(1)</w:t>
            </w:r>
          </w:p>
        </w:tc>
        <w:tc>
          <w:tcPr>
            <w:tcW w:w="120" w:type="dxa"/>
            <w:vAlign w:val="bottom"/>
          </w:tcPr>
          <w:p>
            <w:pPr>
              <w:spacing w:after="0"/>
              <w:rPr>
                <w:sz w:val="21"/>
                <w:szCs w:val="21"/>
                <w:color w:val="auto"/>
              </w:rPr>
            </w:pPr>
          </w:p>
        </w:tc>
        <w:tc>
          <w:tcPr>
            <w:tcW w:w="300" w:type="dxa"/>
            <w:vAlign w:val="bottom"/>
            <w:tcBorders>
              <w:bottom w:val="single" w:sz="8" w:color="ACACAC"/>
            </w:tcBorders>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1"/>
                <w:szCs w:val="21"/>
                <w:color w:val="auto"/>
              </w:rPr>
            </w:pPr>
          </w:p>
        </w:tc>
        <w:tc>
          <w:tcPr>
            <w:tcW w:w="240" w:type="dxa"/>
            <w:vAlign w:val="bottom"/>
            <w:tcBorders>
              <w:bottom w:val="single" w:sz="8" w:color="ACACAC"/>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973</w:t>
            </w:r>
          </w:p>
        </w:tc>
      </w:tr>
      <w:tr>
        <w:trPr>
          <w:trHeight w:val="250"/>
        </w:trPr>
        <w:tc>
          <w:tcPr>
            <w:tcW w:w="7080" w:type="dxa"/>
            <w:vAlign w:val="bottom"/>
            <w:tcBorders>
              <w:bottom w:val="single" w:sz="8" w:color="005BA5"/>
            </w:tcBorders>
          </w:tcPr>
          <w:p>
            <w:pPr>
              <w:ind w:left="200"/>
              <w:spacing w:after="0" w:line="250" w:lineRule="exact"/>
              <w:rPr>
                <w:sz w:val="20"/>
                <w:szCs w:val="20"/>
                <w:color w:val="auto"/>
              </w:rPr>
            </w:pPr>
            <w:r>
              <w:rPr>
                <w:rFonts w:ascii="Arial" w:cs="Arial" w:eastAsia="Arial" w:hAnsi="Arial"/>
                <w:sz w:val="16"/>
                <w:szCs w:val="16"/>
                <w:color w:val="auto"/>
              </w:rPr>
              <w:t xml:space="preserve">Reinsurance </w:t>
            </w:r>
            <w:r>
              <w:rPr>
                <w:rFonts w:ascii="Arial" w:cs="Arial" w:eastAsia="Arial" w:hAnsi="Arial"/>
                <w:sz w:val="23"/>
                <w:szCs w:val="23"/>
                <w:color w:val="005BA5"/>
                <w:vertAlign w:val="superscript"/>
              </w:rPr>
              <w:t>(2)</w:t>
            </w:r>
          </w:p>
        </w:tc>
        <w:tc>
          <w:tcPr>
            <w:tcW w:w="120" w:type="dxa"/>
            <w:vAlign w:val="bottom"/>
          </w:tcPr>
          <w:p>
            <w:pPr>
              <w:spacing w:after="0"/>
              <w:rPr>
                <w:sz w:val="21"/>
                <w:szCs w:val="21"/>
                <w:color w:val="auto"/>
              </w:rPr>
            </w:pPr>
          </w:p>
        </w:tc>
        <w:tc>
          <w:tcPr>
            <w:tcW w:w="300" w:type="dxa"/>
            <w:vAlign w:val="bottom"/>
            <w:tcBorders>
              <w:bottom w:val="single" w:sz="8" w:color="005BA5"/>
            </w:tcBorders>
          </w:tcPr>
          <w:p>
            <w:pPr>
              <w:spacing w:after="0"/>
              <w:rPr>
                <w:sz w:val="21"/>
                <w:szCs w:val="21"/>
                <w:color w:val="auto"/>
              </w:rPr>
            </w:pPr>
          </w:p>
        </w:tc>
        <w:tc>
          <w:tcPr>
            <w:tcW w:w="178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21"/>
                <w:szCs w:val="21"/>
                <w:color w:val="auto"/>
              </w:rPr>
            </w:pPr>
          </w:p>
        </w:tc>
        <w:tc>
          <w:tcPr>
            <w:tcW w:w="240" w:type="dxa"/>
            <w:vAlign w:val="bottom"/>
            <w:tcBorders>
              <w:bottom w:val="single" w:sz="8" w:color="005BA5"/>
            </w:tcBorders>
          </w:tcPr>
          <w:p>
            <w:pPr>
              <w:spacing w:after="0"/>
              <w:rPr>
                <w:sz w:val="21"/>
                <w:szCs w:val="21"/>
                <w:color w:val="auto"/>
              </w:rPr>
            </w:pPr>
          </w:p>
        </w:tc>
        <w:tc>
          <w:tcPr>
            <w:tcW w:w="180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(355)</w:t>
            </w: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Net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618</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31"/>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Assumed reinsurance coverage</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50"/>
        </w:trPr>
        <w:tc>
          <w:tcPr>
            <w:tcW w:w="7080" w:type="dxa"/>
            <w:vAlign w:val="bottom"/>
            <w:tcBorders>
              <w:bottom w:val="single" w:sz="8" w:color="ACACAC"/>
            </w:tcBorders>
          </w:tcPr>
          <w:p>
            <w:pPr>
              <w:ind w:left="200"/>
              <w:spacing w:after="0" w:line="250" w:lineRule="exact"/>
              <w:rPr>
                <w:sz w:val="20"/>
                <w:szCs w:val="20"/>
                <w:color w:val="auto"/>
              </w:rPr>
            </w:pPr>
            <w:r>
              <w:rPr>
                <w:rFonts w:ascii="Arial" w:cs="Arial" w:eastAsia="Arial" w:hAnsi="Arial"/>
                <w:sz w:val="16"/>
                <w:szCs w:val="16"/>
                <w:color w:val="auto"/>
              </w:rPr>
              <w:t xml:space="preserve">Gross reserves </w:t>
            </w:r>
            <w:r>
              <w:rPr>
                <w:rFonts w:ascii="Arial" w:cs="Arial" w:eastAsia="Arial" w:hAnsi="Arial"/>
                <w:sz w:val="23"/>
                <w:szCs w:val="23"/>
                <w:color w:val="005BA5"/>
                <w:vertAlign w:val="superscript"/>
              </w:rPr>
              <w:t>(3)</w:t>
            </w:r>
          </w:p>
        </w:tc>
        <w:tc>
          <w:tcPr>
            <w:tcW w:w="120" w:type="dxa"/>
            <w:vAlign w:val="bottom"/>
          </w:tcPr>
          <w:p>
            <w:pPr>
              <w:spacing w:after="0"/>
              <w:rPr>
                <w:sz w:val="21"/>
                <w:szCs w:val="21"/>
                <w:color w:val="auto"/>
              </w:rPr>
            </w:pPr>
          </w:p>
        </w:tc>
        <w:tc>
          <w:tcPr>
            <w:tcW w:w="300" w:type="dxa"/>
            <w:vAlign w:val="bottom"/>
            <w:tcBorders>
              <w:bottom w:val="single" w:sz="8" w:color="ACACAC"/>
            </w:tcBorders>
          </w:tcPr>
          <w:p>
            <w:pPr>
              <w:spacing w:after="0"/>
              <w:rPr>
                <w:sz w:val="21"/>
                <w:szCs w:val="21"/>
                <w:color w:val="auto"/>
              </w:rPr>
            </w:pPr>
          </w:p>
        </w:tc>
        <w:tc>
          <w:tcPr>
            <w:tcW w:w="178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21"/>
                <w:szCs w:val="21"/>
                <w:color w:val="auto"/>
              </w:rPr>
            </w:pPr>
          </w:p>
        </w:tc>
        <w:tc>
          <w:tcPr>
            <w:tcW w:w="240" w:type="dxa"/>
            <w:vAlign w:val="bottom"/>
            <w:tcBorders>
              <w:bottom w:val="single" w:sz="8" w:color="ACACAC"/>
            </w:tcBorders>
          </w:tcPr>
          <w:p>
            <w:pPr>
              <w:spacing w:after="0"/>
              <w:rPr>
                <w:sz w:val="21"/>
                <w:szCs w:val="21"/>
                <w:color w:val="auto"/>
              </w:rPr>
            </w:pPr>
          </w:p>
        </w:tc>
        <w:tc>
          <w:tcPr>
            <w:tcW w:w="180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625</w:t>
            </w:r>
          </w:p>
        </w:tc>
      </w:tr>
      <w:tr>
        <w:trPr>
          <w:trHeight w:val="250"/>
        </w:trPr>
        <w:tc>
          <w:tcPr>
            <w:tcW w:w="7080" w:type="dxa"/>
            <w:vAlign w:val="bottom"/>
            <w:tcBorders>
              <w:bottom w:val="single" w:sz="8" w:color="005BA5"/>
            </w:tcBorders>
          </w:tcPr>
          <w:p>
            <w:pPr>
              <w:ind w:left="200"/>
              <w:spacing w:after="0" w:line="250" w:lineRule="exact"/>
              <w:rPr>
                <w:sz w:val="20"/>
                <w:szCs w:val="20"/>
                <w:color w:val="auto"/>
              </w:rPr>
            </w:pPr>
            <w:r>
              <w:rPr>
                <w:rFonts w:ascii="Arial" w:cs="Arial" w:eastAsia="Arial" w:hAnsi="Arial"/>
                <w:sz w:val="16"/>
                <w:szCs w:val="16"/>
                <w:color w:val="auto"/>
              </w:rPr>
              <w:t xml:space="preserve">Reinsurance </w:t>
            </w:r>
            <w:r>
              <w:rPr>
                <w:rFonts w:ascii="Arial" w:cs="Arial" w:eastAsia="Arial" w:hAnsi="Arial"/>
                <w:sz w:val="23"/>
                <w:szCs w:val="23"/>
                <w:color w:val="005BA5"/>
                <w:vertAlign w:val="superscript"/>
              </w:rPr>
              <w:t>(4)</w:t>
            </w:r>
          </w:p>
        </w:tc>
        <w:tc>
          <w:tcPr>
            <w:tcW w:w="120" w:type="dxa"/>
            <w:vAlign w:val="bottom"/>
          </w:tcPr>
          <w:p>
            <w:pPr>
              <w:spacing w:after="0"/>
              <w:rPr>
                <w:sz w:val="21"/>
                <w:szCs w:val="21"/>
                <w:color w:val="auto"/>
              </w:rPr>
            </w:pPr>
          </w:p>
        </w:tc>
        <w:tc>
          <w:tcPr>
            <w:tcW w:w="300" w:type="dxa"/>
            <w:vAlign w:val="bottom"/>
            <w:tcBorders>
              <w:bottom w:val="single" w:sz="8" w:color="005BA5"/>
            </w:tcBorders>
          </w:tcPr>
          <w:p>
            <w:pPr>
              <w:spacing w:after="0"/>
              <w:rPr>
                <w:sz w:val="21"/>
                <w:szCs w:val="21"/>
                <w:color w:val="auto"/>
              </w:rPr>
            </w:pPr>
          </w:p>
        </w:tc>
        <w:tc>
          <w:tcPr>
            <w:tcW w:w="178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240" w:type="dxa"/>
            <w:vAlign w:val="bottom"/>
            <w:tcBorders>
              <w:bottom w:val="single" w:sz="8" w:color="005BA5"/>
            </w:tcBorders>
          </w:tcPr>
          <w:p>
            <w:pPr>
              <w:spacing w:after="0"/>
              <w:rPr>
                <w:sz w:val="21"/>
                <w:szCs w:val="21"/>
                <w:color w:val="auto"/>
              </w:rPr>
            </w:pPr>
          </w:p>
        </w:tc>
        <w:tc>
          <w:tcPr>
            <w:tcW w:w="180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(53)</w:t>
            </w: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Net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565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572</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31"/>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Direct primary commercial insurance</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50"/>
        </w:trPr>
        <w:tc>
          <w:tcPr>
            <w:tcW w:w="7080" w:type="dxa"/>
            <w:vAlign w:val="bottom"/>
            <w:tcBorders>
              <w:bottom w:val="single" w:sz="8" w:color="ACACAC"/>
            </w:tcBorders>
          </w:tcPr>
          <w:p>
            <w:pPr>
              <w:ind w:left="200"/>
              <w:spacing w:after="0" w:line="250" w:lineRule="exact"/>
              <w:rPr>
                <w:sz w:val="20"/>
                <w:szCs w:val="20"/>
                <w:color w:val="auto"/>
              </w:rPr>
            </w:pPr>
            <w:r>
              <w:rPr>
                <w:rFonts w:ascii="Arial" w:cs="Arial" w:eastAsia="Arial" w:hAnsi="Arial"/>
                <w:sz w:val="16"/>
                <w:szCs w:val="16"/>
                <w:color w:val="auto"/>
              </w:rPr>
              <w:t xml:space="preserve">Gross reserves </w:t>
            </w:r>
            <w:r>
              <w:rPr>
                <w:rFonts w:ascii="Arial" w:cs="Arial" w:eastAsia="Arial" w:hAnsi="Arial"/>
                <w:sz w:val="23"/>
                <w:szCs w:val="23"/>
                <w:color w:val="005BA5"/>
                <w:vertAlign w:val="superscript"/>
              </w:rPr>
              <w:t>(5)</w:t>
            </w:r>
          </w:p>
        </w:tc>
        <w:tc>
          <w:tcPr>
            <w:tcW w:w="120" w:type="dxa"/>
            <w:vAlign w:val="bottom"/>
          </w:tcPr>
          <w:p>
            <w:pPr>
              <w:spacing w:after="0"/>
              <w:rPr>
                <w:sz w:val="21"/>
                <w:szCs w:val="21"/>
                <w:color w:val="auto"/>
              </w:rPr>
            </w:pPr>
          </w:p>
        </w:tc>
        <w:tc>
          <w:tcPr>
            <w:tcW w:w="300" w:type="dxa"/>
            <w:vAlign w:val="bottom"/>
            <w:tcBorders>
              <w:bottom w:val="single" w:sz="8" w:color="ACACAC"/>
            </w:tcBorders>
          </w:tcPr>
          <w:p>
            <w:pPr>
              <w:spacing w:after="0"/>
              <w:rPr>
                <w:sz w:val="21"/>
                <w:szCs w:val="21"/>
                <w:color w:val="auto"/>
              </w:rPr>
            </w:pPr>
          </w:p>
        </w:tc>
        <w:tc>
          <w:tcPr>
            <w:tcW w:w="178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1"/>
                <w:szCs w:val="21"/>
                <w:color w:val="auto"/>
              </w:rPr>
            </w:pPr>
          </w:p>
        </w:tc>
        <w:tc>
          <w:tcPr>
            <w:tcW w:w="240" w:type="dxa"/>
            <w:vAlign w:val="bottom"/>
            <w:tcBorders>
              <w:bottom w:val="single" w:sz="8" w:color="ACACAC"/>
            </w:tcBorders>
          </w:tcPr>
          <w:p>
            <w:pPr>
              <w:spacing w:after="0"/>
              <w:rPr>
                <w:sz w:val="21"/>
                <w:szCs w:val="21"/>
                <w:color w:val="auto"/>
              </w:rPr>
            </w:pPr>
          </w:p>
        </w:tc>
        <w:tc>
          <w:tcPr>
            <w:tcW w:w="180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171</w:t>
            </w:r>
          </w:p>
        </w:tc>
      </w:tr>
      <w:tr>
        <w:trPr>
          <w:trHeight w:val="250"/>
        </w:trPr>
        <w:tc>
          <w:tcPr>
            <w:tcW w:w="7080" w:type="dxa"/>
            <w:vAlign w:val="bottom"/>
            <w:tcBorders>
              <w:bottom w:val="single" w:sz="8" w:color="005BA5"/>
            </w:tcBorders>
          </w:tcPr>
          <w:p>
            <w:pPr>
              <w:ind w:left="200"/>
              <w:spacing w:after="0" w:line="250" w:lineRule="exact"/>
              <w:rPr>
                <w:sz w:val="20"/>
                <w:szCs w:val="20"/>
                <w:color w:val="auto"/>
              </w:rPr>
            </w:pPr>
            <w:r>
              <w:rPr>
                <w:rFonts w:ascii="Arial" w:cs="Arial" w:eastAsia="Arial" w:hAnsi="Arial"/>
                <w:sz w:val="16"/>
                <w:szCs w:val="16"/>
                <w:color w:val="auto"/>
              </w:rPr>
              <w:t xml:space="preserve">Reinsurance </w:t>
            </w:r>
            <w:r>
              <w:rPr>
                <w:rFonts w:ascii="Arial" w:cs="Arial" w:eastAsia="Arial" w:hAnsi="Arial"/>
                <w:sz w:val="23"/>
                <w:szCs w:val="23"/>
                <w:color w:val="005BA5"/>
                <w:vertAlign w:val="superscript"/>
              </w:rPr>
              <w:t>(6)</w:t>
            </w:r>
          </w:p>
        </w:tc>
        <w:tc>
          <w:tcPr>
            <w:tcW w:w="120" w:type="dxa"/>
            <w:vAlign w:val="bottom"/>
          </w:tcPr>
          <w:p>
            <w:pPr>
              <w:spacing w:after="0"/>
              <w:rPr>
                <w:sz w:val="21"/>
                <w:szCs w:val="21"/>
                <w:color w:val="auto"/>
              </w:rPr>
            </w:pPr>
          </w:p>
        </w:tc>
        <w:tc>
          <w:tcPr>
            <w:tcW w:w="300" w:type="dxa"/>
            <w:vAlign w:val="bottom"/>
            <w:tcBorders>
              <w:bottom w:val="single" w:sz="8" w:color="005BA5"/>
            </w:tcBorders>
          </w:tcPr>
          <w:p>
            <w:pPr>
              <w:spacing w:after="0"/>
              <w:rPr>
                <w:sz w:val="21"/>
                <w:szCs w:val="21"/>
                <w:color w:val="auto"/>
              </w:rPr>
            </w:pPr>
          </w:p>
        </w:tc>
        <w:tc>
          <w:tcPr>
            <w:tcW w:w="178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1"/>
                <w:szCs w:val="21"/>
                <w:color w:val="auto"/>
              </w:rPr>
            </w:pPr>
          </w:p>
        </w:tc>
        <w:tc>
          <w:tcPr>
            <w:tcW w:w="240" w:type="dxa"/>
            <w:vAlign w:val="bottom"/>
            <w:tcBorders>
              <w:bottom w:val="single" w:sz="8" w:color="005BA5"/>
            </w:tcBorders>
          </w:tcPr>
          <w:p>
            <w:pPr>
              <w:spacing w:after="0"/>
              <w:rPr>
                <w:sz w:val="21"/>
                <w:szCs w:val="21"/>
                <w:color w:val="auto"/>
              </w:rPr>
            </w:pPr>
          </w:p>
        </w:tc>
        <w:tc>
          <w:tcPr>
            <w:tcW w:w="180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(48)</w:t>
            </w: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Net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123</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31"/>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run-off business</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Gross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Reinsurance</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Net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31"/>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Unallocated loss adjustment expenses</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Gross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Reinsurance</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Net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31"/>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Gross reserves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1,826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1,864</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Reinsurance</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(473)</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7200" w:type="dxa"/>
            <w:vAlign w:val="bottom"/>
            <w:gridSpan w:val="2"/>
          </w:tcPr>
          <w:p>
            <w:pPr>
              <w:ind w:left="200"/>
              <w:spacing w:after="0"/>
              <w:rPr>
                <w:sz w:val="20"/>
                <w:szCs w:val="20"/>
                <w:color w:val="auto"/>
              </w:rPr>
            </w:pPr>
            <w:r>
              <w:rPr>
                <w:rFonts w:ascii="Arial" w:cs="Arial" w:eastAsia="Arial" w:hAnsi="Arial"/>
                <w:sz w:val="16"/>
                <w:szCs w:val="16"/>
                <w:b w:val="1"/>
                <w:bCs w:val="1"/>
                <w:color w:val="auto"/>
              </w:rPr>
              <w:t>Net reserves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b w:val="1"/>
                <w:bCs w:val="1"/>
                <w:color w:val="auto"/>
              </w:rPr>
              <w:t>1,364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1,391</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bl>
    <w:p>
      <w:pPr>
        <w:spacing w:after="0" w:line="113" w:lineRule="exact"/>
        <w:rPr>
          <w:sz w:val="20"/>
          <w:szCs w:val="20"/>
          <w:color w:val="auto"/>
        </w:rPr>
      </w:pPr>
    </w:p>
    <w:p>
      <w:pPr>
        <w:ind w:left="260" w:right="20" w:hanging="171"/>
        <w:spacing w:after="0" w:line="203" w:lineRule="auto"/>
        <w:tabs>
          <w:tab w:leader="none" w:pos="284" w:val="left"/>
        </w:tabs>
        <w:numPr>
          <w:ilvl w:val="0"/>
          <w:numId w:val="74"/>
        </w:numPr>
        <w:rPr>
          <w:rFonts w:ascii="Arial" w:cs="Arial" w:eastAsia="Arial" w:hAnsi="Arial"/>
          <w:sz w:val="23"/>
          <w:szCs w:val="23"/>
          <w:color w:val="005BA5"/>
          <w:vertAlign w:val="superscript"/>
        </w:rPr>
      </w:pPr>
      <w:r>
        <w:rPr>
          <w:rFonts w:ascii="Arial" w:cs="Arial" w:eastAsia="Arial" w:hAnsi="Arial"/>
          <w:sz w:val="14"/>
          <w:szCs w:val="14"/>
          <w:color w:val="auto"/>
        </w:rPr>
        <w:t>Gross reserves as of March 31, 2019, comprised 66% case reserves and 34% incurred but not reported (“IBNR”) reserves. Approximately 75% of the total gross case reserves are subject to settlement agreements. In the first three months of 2019, total gross payments from case reserves were $26 million with approximately 89% attributable to settlements. Reserves as of December 31, 2018, comprised 67% case reserves and 33% IBNR reserves.</w:t>
      </w:r>
    </w:p>
    <w:p>
      <w:pPr>
        <w:spacing w:after="0" w:line="44" w:lineRule="exact"/>
        <w:rPr>
          <w:rFonts w:ascii="Arial" w:cs="Arial" w:eastAsia="Arial" w:hAnsi="Arial"/>
          <w:sz w:val="23"/>
          <w:szCs w:val="23"/>
          <w:color w:val="005BA5"/>
          <w:vertAlign w:val="superscript"/>
        </w:rPr>
      </w:pPr>
    </w:p>
    <w:p>
      <w:pPr>
        <w:ind w:left="260" w:right="60" w:hanging="171"/>
        <w:spacing w:after="0" w:line="203" w:lineRule="auto"/>
        <w:tabs>
          <w:tab w:leader="none" w:pos="277" w:val="left"/>
        </w:tabs>
        <w:numPr>
          <w:ilvl w:val="0"/>
          <w:numId w:val="74"/>
        </w:numPr>
        <w:rPr>
          <w:rFonts w:ascii="Arial" w:cs="Arial" w:eastAsia="Arial" w:hAnsi="Arial"/>
          <w:sz w:val="23"/>
          <w:szCs w:val="23"/>
          <w:color w:val="005BA5"/>
          <w:vertAlign w:val="superscript"/>
        </w:rPr>
      </w:pPr>
      <w:r>
        <w:rPr>
          <w:rFonts w:ascii="Arial" w:cs="Arial" w:eastAsia="Arial" w:hAnsi="Arial"/>
          <w:sz w:val="14"/>
          <w:szCs w:val="14"/>
          <w:color w:val="auto"/>
        </w:rPr>
        <w:t>Ceded reserves as of March 31, 2019, comprised 78% case reserves and 22% IBNR reserves. Approximately 82% of the total ceded case reserves are subject to settlement agreements. In the first three months of 2019, reinsurance billings of ceded case reserves were $11 million with approximately 95% attributable to settlements. Reserves as of December 31, 2018, comprised 78% case reserves and 22% IBNR reserves.</w:t>
      </w:r>
    </w:p>
    <w:p>
      <w:pPr>
        <w:spacing w:after="0" w:line="44" w:lineRule="exact"/>
        <w:rPr>
          <w:rFonts w:ascii="Arial" w:cs="Arial" w:eastAsia="Arial" w:hAnsi="Arial"/>
          <w:sz w:val="23"/>
          <w:szCs w:val="23"/>
          <w:color w:val="005BA5"/>
          <w:vertAlign w:val="superscript"/>
        </w:rPr>
      </w:pPr>
    </w:p>
    <w:p>
      <w:pPr>
        <w:ind w:left="260" w:right="60" w:hanging="171"/>
        <w:spacing w:after="0" w:line="188" w:lineRule="auto"/>
        <w:tabs>
          <w:tab w:leader="none" w:pos="284" w:val="left"/>
        </w:tabs>
        <w:numPr>
          <w:ilvl w:val="0"/>
          <w:numId w:val="74"/>
        </w:numPr>
        <w:rPr>
          <w:rFonts w:ascii="Arial" w:cs="Arial" w:eastAsia="Arial" w:hAnsi="Arial"/>
          <w:sz w:val="23"/>
          <w:szCs w:val="23"/>
          <w:color w:val="005BA5"/>
          <w:vertAlign w:val="superscript"/>
        </w:rPr>
      </w:pPr>
      <w:r>
        <w:rPr>
          <w:rFonts w:ascii="Arial" w:cs="Arial" w:eastAsia="Arial" w:hAnsi="Arial"/>
          <w:sz w:val="14"/>
          <w:szCs w:val="14"/>
          <w:color w:val="auto"/>
        </w:rPr>
        <w:t>Gross reserves as of March 31, 2019, comprised 33% case reserves and 67% IBNR reserves. In the first three months of 2019, total gross payments from case reserves were $9 million. Reserves as of December 31, 2018, comprised 34% case reserves and 66% IBNR reserves.</w:t>
      </w:r>
    </w:p>
    <w:p>
      <w:pPr>
        <w:spacing w:after="0" w:line="44" w:lineRule="exact"/>
        <w:rPr>
          <w:rFonts w:ascii="Arial" w:cs="Arial" w:eastAsia="Arial" w:hAnsi="Arial"/>
          <w:sz w:val="23"/>
          <w:szCs w:val="23"/>
          <w:color w:val="005BA5"/>
          <w:vertAlign w:val="superscript"/>
        </w:rPr>
      </w:pPr>
    </w:p>
    <w:p>
      <w:pPr>
        <w:ind w:left="260" w:right="200" w:hanging="171"/>
        <w:spacing w:after="0" w:line="188" w:lineRule="auto"/>
        <w:tabs>
          <w:tab w:leader="none" w:pos="277" w:val="left"/>
        </w:tabs>
        <w:numPr>
          <w:ilvl w:val="0"/>
          <w:numId w:val="74"/>
        </w:numPr>
        <w:rPr>
          <w:rFonts w:ascii="Arial" w:cs="Arial" w:eastAsia="Arial" w:hAnsi="Arial"/>
          <w:sz w:val="23"/>
          <w:szCs w:val="23"/>
          <w:color w:val="005BA5"/>
          <w:vertAlign w:val="superscript"/>
        </w:rPr>
      </w:pPr>
      <w:r>
        <w:rPr>
          <w:rFonts w:ascii="Arial" w:cs="Arial" w:eastAsia="Arial" w:hAnsi="Arial"/>
          <w:sz w:val="14"/>
          <w:szCs w:val="14"/>
          <w:color w:val="auto"/>
        </w:rPr>
        <w:t>Ceded reserves as of March 31, 2019, comprised 36% case reserves and 64% IBNR reserves. In the first three months of 2019, reinsurance billings of ceded case reserves were $1 million. Reserves as of December 31, 2018, comprised 37% case reserves and 63% IBNR reserves.</w:t>
      </w:r>
    </w:p>
    <w:p>
      <w:pPr>
        <w:spacing w:after="0" w:line="44" w:lineRule="exact"/>
        <w:rPr>
          <w:rFonts w:ascii="Arial" w:cs="Arial" w:eastAsia="Arial" w:hAnsi="Arial"/>
          <w:sz w:val="23"/>
          <w:szCs w:val="23"/>
          <w:color w:val="005BA5"/>
          <w:vertAlign w:val="superscript"/>
        </w:rPr>
      </w:pPr>
    </w:p>
    <w:p>
      <w:pPr>
        <w:ind w:left="260" w:right="60" w:hanging="171"/>
        <w:spacing w:after="0" w:line="188" w:lineRule="auto"/>
        <w:tabs>
          <w:tab w:leader="none" w:pos="277" w:val="left"/>
        </w:tabs>
        <w:numPr>
          <w:ilvl w:val="0"/>
          <w:numId w:val="74"/>
        </w:numPr>
        <w:rPr>
          <w:rFonts w:ascii="Arial" w:cs="Arial" w:eastAsia="Arial" w:hAnsi="Arial"/>
          <w:sz w:val="23"/>
          <w:szCs w:val="23"/>
          <w:color w:val="005BA5"/>
          <w:vertAlign w:val="superscript"/>
        </w:rPr>
      </w:pPr>
      <w:r>
        <w:rPr>
          <w:rFonts w:ascii="Arial" w:cs="Arial" w:eastAsia="Arial" w:hAnsi="Arial"/>
          <w:sz w:val="14"/>
          <w:szCs w:val="14"/>
          <w:color w:val="auto"/>
        </w:rPr>
        <w:t>Gross reserves as of March 31, 2019, comprised 58% case reserves and 42% IBNR reserves. In the first three months of 2019, total gross payments from case reserves were $3 million. Reserves as of December 31, 2018, comprised 58% case reserves and 42% IBNR reserves.</w:t>
      </w:r>
    </w:p>
    <w:p>
      <w:pPr>
        <w:spacing w:after="0" w:line="44" w:lineRule="exact"/>
        <w:rPr>
          <w:rFonts w:ascii="Arial" w:cs="Arial" w:eastAsia="Arial" w:hAnsi="Arial"/>
          <w:sz w:val="23"/>
          <w:szCs w:val="23"/>
          <w:color w:val="005BA5"/>
          <w:vertAlign w:val="superscript"/>
        </w:rPr>
      </w:pPr>
    </w:p>
    <w:p>
      <w:pPr>
        <w:ind w:left="260" w:right="200" w:hanging="171"/>
        <w:spacing w:after="0" w:line="188" w:lineRule="auto"/>
        <w:tabs>
          <w:tab w:leader="none" w:pos="277" w:val="left"/>
        </w:tabs>
        <w:numPr>
          <w:ilvl w:val="0"/>
          <w:numId w:val="74"/>
        </w:numPr>
        <w:rPr>
          <w:rFonts w:ascii="Arial" w:cs="Arial" w:eastAsia="Arial" w:hAnsi="Arial"/>
          <w:sz w:val="23"/>
          <w:szCs w:val="23"/>
          <w:color w:val="005BA5"/>
          <w:vertAlign w:val="superscript"/>
        </w:rPr>
      </w:pPr>
      <w:r>
        <w:rPr>
          <w:rFonts w:ascii="Arial" w:cs="Arial" w:eastAsia="Arial" w:hAnsi="Arial"/>
          <w:sz w:val="14"/>
          <w:szCs w:val="14"/>
          <w:color w:val="auto"/>
        </w:rPr>
        <w:t>Ceded reserves as of March 31, 2019, comprised 78% case reserves and 22% IBNR reserves. In the first three months of 2019, reinsurance billings of ceded case reserves were $300 thousand. Reserves as of December 31, 2018, comprised 78% case reserves and 22% IBNR reserves.</w:t>
      </w:r>
    </w:p>
    <w:p>
      <w:pPr>
        <w:sectPr>
          <w:pgSz w:w="11900" w:h="16838" w:orient="portrait"/>
          <w:cols w:equalWidth="0" w:num="1">
            <w:col w:w="11420"/>
          </w:cols>
          <w:pgMar w:left="240" w:top="141" w:right="239" w:bottom="1440" w:gutter="0" w:footer="0" w:header="0"/>
        </w:sectPr>
      </w:pP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color w:val="auto"/>
        </w:rPr>
        <w:t>Total net reserves were $1.36 billion, including $689 million or 50% of estimated IBNR reserves as of March 31, 2019 compared to total net reserves of $1.39 billion, including $693 million or 50% of estimated IBNR reserves as of December 31, 2018.</w:t>
      </w:r>
    </w:p>
    <w:p>
      <w:pPr>
        <w:spacing w:after="0" w:line="149" w:lineRule="exact"/>
        <w:rPr>
          <w:sz w:val="20"/>
          <w:szCs w:val="20"/>
          <w:color w:val="auto"/>
        </w:rPr>
      </w:pPr>
    </w:p>
    <w:p>
      <w:pPr>
        <w:ind w:right="140" w:firstLine="324"/>
        <w:spacing w:after="0" w:line="253" w:lineRule="auto"/>
        <w:rPr>
          <w:sz w:val="20"/>
          <w:szCs w:val="20"/>
          <w:color w:val="auto"/>
        </w:rPr>
      </w:pPr>
      <w:r>
        <w:rPr>
          <w:rFonts w:ascii="Arial" w:cs="Arial" w:eastAsia="Arial" w:hAnsi="Arial"/>
          <w:sz w:val="16"/>
          <w:szCs w:val="16"/>
          <w:color w:val="auto"/>
        </w:rPr>
        <w:t>Total gross payments were $39 million for the first quarter of 2019 primarily related to payments on settlement agreements reached with several insureds on large claims, mainly asbestos related losses, where</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the scope of coverages has been agreed upon. The claims associated with these settlement agreements are expected to be substantially paid out over the next several years as qualified claims are submitted by these insureds. Reinsurance collections were $15 million for the first quarter of 2019.</w:t>
      </w:r>
    </w:p>
    <w:p>
      <w:pPr>
        <w:spacing w:after="0" w:line="984" w:lineRule="exact"/>
        <w:rPr>
          <w:sz w:val="20"/>
          <w:szCs w:val="20"/>
          <w:color w:val="auto"/>
        </w:rPr>
      </w:pPr>
    </w:p>
    <w:p>
      <w:pPr>
        <w:sectPr>
          <w:pgSz w:w="11900" w:h="16838" w:orient="portrait"/>
          <w:cols w:equalWidth="0" w:num="2">
            <w:col w:w="5300" w:space="640"/>
            <w:col w:w="5480"/>
          </w:cols>
          <w:pgMar w:left="240" w:top="141" w:right="2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73</w:t>
      </w:r>
    </w:p>
    <w:p>
      <w:pPr>
        <w:sectPr>
          <w:pgSz w:w="11900" w:h="16838" w:orient="portrait"/>
          <w:cols w:equalWidth="0" w:num="1">
            <w:col w:w="11420"/>
          </w:cols>
          <w:pgMar w:left="240" w:top="141" w:right="2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6"/>
          <w:szCs w:val="16"/>
          <w:color w:val="005BA5"/>
        </w:rPr>
        <w:t xml:space="preserve">Segment Results </w:t>
      </w:r>
      <w:r>
        <w:rPr>
          <w:rFonts w:ascii="Arial" w:cs="Arial" w:eastAsia="Arial" w:hAnsi="Arial"/>
          <w:sz w:val="16"/>
          <w:szCs w:val="16"/>
          <w:color w:val="000000"/>
        </w:rPr>
        <w:t>Service Businesses</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Service Businesses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600710</wp:posOffset>
            </wp:positionV>
            <wp:extent cx="72466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85725</wp:posOffset>
            </wp:positionV>
            <wp:extent cx="5848985" cy="3600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84898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Summarized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Premiums written</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6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40" w:type="dxa"/>
            <w:vAlign w:val="bottom"/>
            <w:tcBorders>
              <w:top w:val="single" w:sz="8" w:color="ACACAC"/>
              <w:bottom w:val="single" w:sz="8" w:color="ACACAC"/>
            </w:tcBorders>
          </w:tcPr>
          <w:p>
            <w:pPr>
              <w:spacing w:after="0"/>
              <w:rPr>
                <w:sz w:val="22"/>
                <w:szCs w:val="2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Intersegment insurance premiums and service fees </w:t>
            </w:r>
            <w:r>
              <w:rPr>
                <w:rFonts w:ascii="Arial" w:cs="Arial" w:eastAsia="Arial" w:hAnsi="Arial"/>
                <w:sz w:val="23"/>
                <w:szCs w:val="23"/>
                <w:color w:val="005BA5"/>
                <w:vertAlign w:val="superscript"/>
              </w:rPr>
              <w:t>(1)</w:t>
            </w:r>
          </w:p>
        </w:tc>
        <w:tc>
          <w:tcPr>
            <w:tcW w:w="12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29</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313</w:t>
            </w:r>
          </w:p>
        </w:tc>
      </w:tr>
      <w:tr>
        <w:trPr>
          <w:trHeight w:val="195"/>
        </w:trPr>
        <w:tc>
          <w:tcPr>
            <w:tcW w:w="8460" w:type="dxa"/>
            <w:vAlign w:val="bottom"/>
            <w:tcBorders>
              <w:bottom w:val="single" w:sz="8" w:color="ACACAC"/>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CACAC"/>
            </w:tcBorders>
          </w:tcPr>
          <w:p>
            <w:pPr>
              <w:spacing w:after="0"/>
              <w:rPr>
                <w:sz w:val="16"/>
                <w:szCs w:val="16"/>
                <w:color w:val="auto"/>
              </w:rPr>
            </w:pPr>
          </w:p>
        </w:tc>
        <w:tc>
          <w:tcPr>
            <w:tcW w:w="1060" w:type="dxa"/>
            <w:vAlign w:val="bottom"/>
            <w:tcBorders>
              <w:bottom w:val="single" w:sz="8" w:color="ACACAC"/>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CACAC"/>
            </w:tcBorders>
          </w:tcPr>
          <w:p>
            <w:pPr>
              <w:spacing w:after="0"/>
              <w:rPr>
                <w:sz w:val="16"/>
                <w:szCs w:val="16"/>
                <w:color w:val="auto"/>
              </w:rPr>
            </w:pPr>
          </w:p>
        </w:tc>
        <w:tc>
          <w:tcPr>
            <w:tcW w:w="1040" w:type="dxa"/>
            <w:vAlign w:val="bottom"/>
            <w:tcBorders>
              <w:bottom w:val="single" w:sz="8" w:color="ACACAC"/>
            </w:tcBorders>
          </w:tcPr>
          <w:p>
            <w:pPr>
              <w:spacing w:after="0"/>
              <w:rPr>
                <w:sz w:val="16"/>
                <w:szCs w:val="16"/>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Claims and claims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DAC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purchased intangible assets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Restructuring and related charges</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(342)</w:t>
            </w:r>
          </w:p>
        </w:tc>
      </w:tr>
      <w:tr>
        <w:trPr>
          <w:trHeight w:val="195"/>
        </w:trPr>
        <w:tc>
          <w:tcPr>
            <w:tcW w:w="8460" w:type="dxa"/>
            <w:vAlign w:val="bottom"/>
            <w:tcBorders>
              <w:bottom w:val="single" w:sz="8" w:color="ACACAC"/>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CACAC"/>
            </w:tcBorders>
          </w:tcPr>
          <w:p>
            <w:pPr>
              <w:spacing w:after="0"/>
              <w:rPr>
                <w:sz w:val="16"/>
                <w:szCs w:val="16"/>
                <w:color w:val="auto"/>
              </w:rPr>
            </w:pPr>
          </w:p>
        </w:tc>
        <w:tc>
          <w:tcPr>
            <w:tcW w:w="1060" w:type="dxa"/>
            <w:vAlign w:val="bottom"/>
            <w:tcBorders>
              <w:bottom w:val="single" w:sz="8" w:color="ACACAC"/>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CACAC"/>
            </w:tcBorders>
          </w:tcPr>
          <w:p>
            <w:pPr>
              <w:spacing w:after="0"/>
              <w:rPr>
                <w:sz w:val="16"/>
                <w:szCs w:val="16"/>
                <w:color w:val="auto"/>
              </w:rPr>
            </w:pPr>
          </w:p>
        </w:tc>
        <w:tc>
          <w:tcPr>
            <w:tcW w:w="1040" w:type="dxa"/>
            <w:vAlign w:val="bottom"/>
            <w:tcBorders>
              <w:bottom w:val="single" w:sz="8" w:color="ACACAC"/>
            </w:tcBorders>
          </w:tcPr>
          <w:p>
            <w:pPr>
              <w:spacing w:after="0"/>
              <w:rPr>
                <w:sz w:val="16"/>
                <w:szCs w:val="16"/>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benefit</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loss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005BA5"/>
              <w:bottom w:val="single" w:sz="8" w:color="005BA5"/>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005BA5"/>
              <w:bottom w:val="single" w:sz="8" w:color="ACACAC"/>
            </w:tcBorders>
          </w:tcPr>
          <w:p>
            <w:pPr>
              <w:spacing w:after="0"/>
              <w:rPr>
                <w:sz w:val="22"/>
                <w:szCs w:val="22"/>
                <w:color w:val="auto"/>
              </w:rPr>
            </w:pPr>
          </w:p>
        </w:tc>
        <w:tc>
          <w:tcPr>
            <w:tcW w:w="1060" w:type="dxa"/>
            <w:vAlign w:val="bottom"/>
            <w:tcBorders>
              <w:top w:val="single" w:sz="8" w:color="005BA5"/>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005BA5"/>
              <w:bottom w:val="single" w:sz="8" w:color="ACACAC"/>
            </w:tcBorders>
          </w:tcPr>
          <w:p>
            <w:pPr>
              <w:spacing w:after="0"/>
              <w:rPr>
                <w:sz w:val="22"/>
                <w:szCs w:val="22"/>
                <w:color w:val="auto"/>
              </w:rPr>
            </w:pPr>
          </w:p>
        </w:tc>
        <w:tc>
          <w:tcPr>
            <w:tcW w:w="1040" w:type="dxa"/>
            <w:vAlign w:val="bottom"/>
            <w:tcBorders>
              <w:top w:val="single" w:sz="8" w:color="005BA5"/>
              <w:bottom w:val="single" w:sz="8" w:color="ACACAC"/>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purchased intangible assets, after-tax</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loss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(22)</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SquareTrade </w:t>
            </w:r>
            <w:r>
              <w:rPr>
                <w:rFonts w:ascii="Arial" w:cs="Arial" w:eastAsia="Arial" w:hAnsi="Arial"/>
                <w:sz w:val="23"/>
                <w:szCs w:val="23"/>
                <w:color w:val="005BA5"/>
                <w:vertAlign w:val="superscript"/>
              </w:rPr>
              <w:t>(2)</w:t>
            </w:r>
          </w:p>
        </w:tc>
        <w:tc>
          <w:tcPr>
            <w:tcW w:w="120" w:type="dxa"/>
            <w:vAlign w:val="bottom"/>
          </w:tcPr>
          <w:p>
            <w:pPr>
              <w:spacing w:after="0"/>
              <w:rPr>
                <w:sz w:val="21"/>
                <w:szCs w:val="21"/>
                <w:color w:val="auto"/>
              </w:rPr>
            </w:pPr>
          </w:p>
        </w:tc>
        <w:tc>
          <w:tcPr>
            <w:tcW w:w="32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1"/>
                <w:szCs w:val="21"/>
                <w:color w:val="auto"/>
              </w:rPr>
            </w:pPr>
          </w:p>
        </w:tc>
        <w:tc>
          <w:tcPr>
            <w:tcW w:w="32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2</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Arity</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InfoArmor </w:t>
            </w:r>
            <w:r>
              <w:rPr>
                <w:rFonts w:ascii="Arial" w:cs="Arial" w:eastAsia="Arial" w:hAnsi="Arial"/>
                <w:sz w:val="23"/>
                <w:szCs w:val="23"/>
                <w:color w:val="005BA5"/>
                <w:vertAlign w:val="superscript"/>
              </w:rPr>
              <w:t>(3)</w:t>
            </w:r>
          </w:p>
        </w:tc>
        <w:tc>
          <w:tcPr>
            <w:tcW w:w="12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Allstate Roadside Services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Allstate Dealer Services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SquareTrade </w:t>
            </w:r>
            <w:r>
              <w:rPr>
                <w:rFonts w:ascii="Arial" w:cs="Arial" w:eastAsia="Arial" w:hAnsi="Arial"/>
                <w:sz w:val="23"/>
                <w:szCs w:val="23"/>
                <w:color w:val="005BA5"/>
                <w:vertAlign w:val="superscript"/>
              </w:rPr>
              <w:t>(2)</w:t>
            </w:r>
          </w:p>
        </w:tc>
        <w:tc>
          <w:tcPr>
            <w:tcW w:w="12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77,866</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41,806</w:t>
            </w: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InfoArmor </w:t>
            </w:r>
            <w:r>
              <w:rPr>
                <w:rFonts w:ascii="Arial" w:cs="Arial" w:eastAsia="Arial" w:hAnsi="Arial"/>
                <w:sz w:val="23"/>
                <w:szCs w:val="23"/>
                <w:color w:val="005BA5"/>
                <w:vertAlign w:val="superscript"/>
              </w:rPr>
              <w:t>(3)</w:t>
            </w:r>
          </w:p>
        </w:tc>
        <w:tc>
          <w:tcPr>
            <w:tcW w:w="12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1,211</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Allstate Roadside Services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692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Allstate Dealer Services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4,026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Policies in force as of March 31 (in thousands)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83,589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46,524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91"/>
        <w:spacing w:after="0"/>
        <w:tabs>
          <w:tab w:leader="none" w:pos="280" w:val="left"/>
        </w:tabs>
        <w:numPr>
          <w:ilvl w:val="0"/>
          <w:numId w:val="75"/>
        </w:numPr>
        <w:rPr>
          <w:rFonts w:ascii="Arial" w:cs="Arial" w:eastAsia="Arial" w:hAnsi="Arial"/>
          <w:sz w:val="23"/>
          <w:szCs w:val="23"/>
          <w:color w:val="005BA5"/>
          <w:vertAlign w:val="superscript"/>
        </w:rPr>
      </w:pPr>
      <w:r>
        <w:rPr>
          <w:rFonts w:ascii="Arial" w:cs="Arial" w:eastAsia="Arial" w:hAnsi="Arial"/>
          <w:sz w:val="14"/>
          <w:szCs w:val="14"/>
          <w:color w:val="auto"/>
        </w:rPr>
        <w:t>Primarily related to Arity and Allstate Roadside Services and are eliminated in our condensed consolidated financial statements.</w:t>
      </w:r>
    </w:p>
    <w:p>
      <w:pPr>
        <w:spacing w:after="0" w:line="43" w:lineRule="exact"/>
        <w:rPr>
          <w:rFonts w:ascii="Arial" w:cs="Arial" w:eastAsia="Arial" w:hAnsi="Arial"/>
          <w:sz w:val="23"/>
          <w:szCs w:val="23"/>
          <w:color w:val="005BA5"/>
          <w:vertAlign w:val="superscript"/>
        </w:rPr>
      </w:pPr>
    </w:p>
    <w:p>
      <w:pPr>
        <w:ind w:left="280" w:hanging="191"/>
        <w:spacing w:after="0" w:line="199" w:lineRule="auto"/>
        <w:tabs>
          <w:tab w:leader="none" w:pos="280" w:val="left"/>
        </w:tabs>
        <w:numPr>
          <w:ilvl w:val="0"/>
          <w:numId w:val="75"/>
        </w:numPr>
        <w:rPr>
          <w:rFonts w:ascii="Arial" w:cs="Arial" w:eastAsia="Arial" w:hAnsi="Arial"/>
          <w:sz w:val="18"/>
          <w:szCs w:val="18"/>
          <w:color w:val="005BA5"/>
          <w:vertAlign w:val="superscript"/>
        </w:rPr>
      </w:pPr>
      <w:r>
        <w:rPr>
          <w:rFonts w:ascii="Arial" w:cs="Arial" w:eastAsia="Arial" w:hAnsi="Arial"/>
          <w:sz w:val="12"/>
          <w:szCs w:val="12"/>
          <w:color w:val="auto"/>
        </w:rPr>
        <w:t>SquareTrade acquired PlumChoice on November 30, 2018 and iCracked on February 12, 2019.</w:t>
      </w:r>
    </w:p>
    <w:p>
      <w:pPr>
        <w:spacing w:after="0" w:line="44" w:lineRule="exact"/>
        <w:rPr>
          <w:rFonts w:ascii="Arial" w:cs="Arial" w:eastAsia="Arial" w:hAnsi="Arial"/>
          <w:sz w:val="18"/>
          <w:szCs w:val="18"/>
          <w:color w:val="005BA5"/>
          <w:vertAlign w:val="superscript"/>
        </w:rPr>
      </w:pPr>
    </w:p>
    <w:p>
      <w:pPr>
        <w:ind w:left="280" w:hanging="191"/>
        <w:spacing w:after="0" w:line="199" w:lineRule="auto"/>
        <w:tabs>
          <w:tab w:leader="none" w:pos="280" w:val="left"/>
        </w:tabs>
        <w:numPr>
          <w:ilvl w:val="0"/>
          <w:numId w:val="75"/>
        </w:numPr>
        <w:rPr>
          <w:rFonts w:ascii="Arial" w:cs="Arial" w:eastAsia="Arial" w:hAnsi="Arial"/>
          <w:sz w:val="18"/>
          <w:szCs w:val="18"/>
          <w:color w:val="1666AF"/>
          <w:vertAlign w:val="superscript"/>
        </w:rPr>
      </w:pPr>
      <w:r>
        <w:rPr>
          <w:rFonts w:ascii="Arial" w:cs="Arial" w:eastAsia="Arial" w:hAnsi="Arial"/>
          <w:sz w:val="12"/>
          <w:szCs w:val="12"/>
          <w:color w:val="auto"/>
        </w:rPr>
        <w:t>InfoArmor was acquired on October 5, 2018.</w:t>
      </w:r>
    </w:p>
    <w:p>
      <w:pPr>
        <w:sectPr>
          <w:pgSz w:w="11900" w:h="16838" w:orient="portrait"/>
          <w:cols w:equalWidth="0" w:num="1">
            <w:col w:w="11420"/>
          </w:cols>
          <w:pgMar w:left="240" w:top="141" w:right="239" w:bottom="774" w:gutter="0" w:footer="0" w:header="0"/>
        </w:sectPr>
      </w:pPr>
    </w:p>
    <w:p>
      <w:pPr>
        <w:spacing w:after="0" w:line="96" w:lineRule="exact"/>
        <w:rPr>
          <w:sz w:val="20"/>
          <w:szCs w:val="20"/>
          <w:color w:val="auto"/>
        </w:rPr>
      </w:pPr>
    </w:p>
    <w:p>
      <w:pPr>
        <w:ind w:right="20" w:firstLine="324"/>
        <w:spacing w:after="0" w:line="260" w:lineRule="auto"/>
        <w:rPr>
          <w:sz w:val="20"/>
          <w:szCs w:val="20"/>
          <w:color w:val="auto"/>
        </w:rPr>
      </w:pPr>
      <w:r>
        <w:rPr>
          <w:rFonts w:ascii="Arial" w:cs="Arial" w:eastAsia="Arial" w:hAnsi="Arial"/>
          <w:sz w:val="16"/>
          <w:szCs w:val="16"/>
          <w:i w:val="1"/>
          <w:iCs w:val="1"/>
          <w:color w:val="1666AF"/>
        </w:rPr>
        <w:t xml:space="preserve">Net loss applicable to common shareholders </w:t>
      </w:r>
      <w:r>
        <w:rPr>
          <w:rFonts w:ascii="Arial" w:cs="Arial" w:eastAsia="Arial" w:hAnsi="Arial"/>
          <w:sz w:val="16"/>
          <w:szCs w:val="16"/>
          <w:color w:val="000000"/>
        </w:rPr>
        <w:t>was $6 million in the first</w:t>
      </w:r>
      <w:r>
        <w:rPr>
          <w:rFonts w:ascii="Arial" w:cs="Arial" w:eastAsia="Arial" w:hAnsi="Arial"/>
          <w:sz w:val="16"/>
          <w:szCs w:val="16"/>
          <w:i w:val="1"/>
          <w:iCs w:val="1"/>
          <w:color w:val="1666AF"/>
        </w:rPr>
        <w:t xml:space="preserve"> </w:t>
      </w:r>
      <w:r>
        <w:rPr>
          <w:rFonts w:ascii="Arial" w:cs="Arial" w:eastAsia="Arial" w:hAnsi="Arial"/>
          <w:sz w:val="16"/>
          <w:szCs w:val="16"/>
          <w:color w:val="000000"/>
        </w:rPr>
        <w:t>quarter of 2019 compared to $22 million in the first quarter of 2018.</w:t>
      </w:r>
    </w:p>
    <w:p>
      <w:pPr>
        <w:spacing w:after="0" w:line="72" w:lineRule="exact"/>
        <w:rPr>
          <w:sz w:val="20"/>
          <w:szCs w:val="20"/>
          <w:color w:val="auto"/>
        </w:rPr>
      </w:pPr>
    </w:p>
    <w:p>
      <w:pPr>
        <w:ind w:firstLine="324"/>
        <w:spacing w:after="0" w:line="255" w:lineRule="auto"/>
        <w:rPr>
          <w:sz w:val="20"/>
          <w:szCs w:val="20"/>
          <w:color w:val="auto"/>
        </w:rPr>
      </w:pPr>
      <w:r>
        <w:rPr>
          <w:rFonts w:ascii="Arial" w:cs="Arial" w:eastAsia="Arial" w:hAnsi="Arial"/>
          <w:sz w:val="16"/>
          <w:szCs w:val="16"/>
          <w:i w:val="1"/>
          <w:iCs w:val="1"/>
          <w:color w:val="1666AF"/>
        </w:rPr>
        <w:t xml:space="preserve">Adjusted net income </w:t>
      </w:r>
      <w:r>
        <w:rPr>
          <w:rFonts w:ascii="Arial" w:cs="Arial" w:eastAsia="Arial" w:hAnsi="Arial"/>
          <w:sz w:val="16"/>
          <w:szCs w:val="16"/>
          <w:color w:val="000000"/>
        </w:rPr>
        <w:t>was $11 million in the first quarter of 2019</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compared to an adjusted net loss of $3 million in the first quarter of 2018. The improvement was primarily due to higher premiums and improved loss experience at SquareTrade and Allstate Dealer Services, partially offset by higher rescue costs at Allstate Roadside Services.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140" w:firstLine="324"/>
        <w:spacing w:after="0" w:line="250" w:lineRule="auto"/>
        <w:rPr>
          <w:sz w:val="20"/>
          <w:szCs w:val="20"/>
          <w:color w:val="auto"/>
        </w:rPr>
      </w:pPr>
      <w:r>
        <w:rPr>
          <w:rFonts w:ascii="Arial" w:cs="Arial" w:eastAsia="Arial" w:hAnsi="Arial"/>
          <w:sz w:val="16"/>
          <w:szCs w:val="16"/>
          <w:i w:val="1"/>
          <w:iCs w:val="1"/>
          <w:color w:val="1666AF"/>
        </w:rPr>
        <w:t xml:space="preserve">Total revenues </w:t>
      </w:r>
      <w:r>
        <w:rPr>
          <w:rFonts w:ascii="Arial" w:cs="Arial" w:eastAsia="Arial" w:hAnsi="Arial"/>
          <w:sz w:val="16"/>
          <w:szCs w:val="16"/>
          <w:color w:val="000000"/>
        </w:rPr>
        <w:t>increased 25.2% or $79 million to $392 million in the</w:t>
      </w:r>
      <w:r>
        <w:rPr>
          <w:rFonts w:ascii="Arial" w:cs="Arial" w:eastAsia="Arial" w:hAnsi="Arial"/>
          <w:sz w:val="16"/>
          <w:szCs w:val="16"/>
          <w:i w:val="1"/>
          <w:iCs w:val="1"/>
          <w:color w:val="1666AF"/>
        </w:rPr>
        <w:t xml:space="preserve"> </w:t>
      </w:r>
      <w:r>
        <w:rPr>
          <w:rFonts w:ascii="Arial" w:cs="Arial" w:eastAsia="Arial" w:hAnsi="Arial"/>
          <w:sz w:val="16"/>
          <w:szCs w:val="16"/>
          <w:color w:val="000000"/>
        </w:rPr>
        <w:t>first quarter of 2019 from $313 million in the first quarter of 2018. The increase in the first quarter of 2019 was primarily due to SquareTrade’s growth through its U.S. retail and international distribution partners and the acquisitions of InfoArmor, PlumChoice and iCracked.</w:t>
      </w:r>
    </w:p>
    <w:p>
      <w:pPr>
        <w:spacing w:after="0" w:line="7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6"/>
          <w:szCs w:val="16"/>
          <w:i w:val="1"/>
          <w:iCs w:val="1"/>
          <w:color w:val="1666AF"/>
        </w:rPr>
        <w:t xml:space="preserve">Premiums written </w:t>
      </w:r>
      <w:r>
        <w:rPr>
          <w:rFonts w:ascii="Arial" w:cs="Arial" w:eastAsia="Arial" w:hAnsi="Arial"/>
          <w:sz w:val="16"/>
          <w:szCs w:val="16"/>
          <w:color w:val="000000"/>
        </w:rPr>
        <w:t>increased 28.2% or $81 million to $368 million in the</w:t>
      </w:r>
      <w:r>
        <w:rPr>
          <w:rFonts w:ascii="Arial" w:cs="Arial" w:eastAsia="Arial" w:hAnsi="Arial"/>
          <w:sz w:val="16"/>
          <w:szCs w:val="16"/>
          <w:i w:val="1"/>
          <w:iCs w:val="1"/>
          <w:color w:val="1666AF"/>
        </w:rPr>
        <w:t xml:space="preserve"> </w:t>
      </w:r>
      <w:r>
        <w:rPr>
          <w:rFonts w:ascii="Arial" w:cs="Arial" w:eastAsia="Arial" w:hAnsi="Arial"/>
          <w:sz w:val="16"/>
          <w:szCs w:val="16"/>
          <w:color w:val="000000"/>
        </w:rPr>
        <w:t>first quarter of 2019 from $287 million in the first quarter of 2018. The increase was</w:t>
      </w:r>
    </w:p>
    <w:p>
      <w:pPr>
        <w:spacing w:after="0" w:line="200" w:lineRule="exact"/>
        <w:rPr>
          <w:sz w:val="20"/>
          <w:szCs w:val="20"/>
          <w:color w:val="auto"/>
        </w:rPr>
      </w:pPr>
    </w:p>
    <w:p>
      <w:pPr>
        <w:sectPr>
          <w:pgSz w:w="11900" w:h="16838" w:orient="portrait"/>
          <w:cols w:equalWidth="0" w:num="2">
            <w:col w:w="5360" w:space="580"/>
            <w:col w:w="5480"/>
          </w:cols>
          <w:pgMar w:left="240" w:top="141" w:right="239" w:bottom="774"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74 </w:t>
      </w:r>
      <w:r>
        <w:rPr>
          <w:sz w:val="1"/>
          <w:szCs w:val="1"/>
          <w:color w:val="auto"/>
        </w:rPr>
        <w:drawing>
          <wp:inline distT="0" distB="0" distL="0" distR="0">
            <wp:extent cx="111760" cy="11176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774" w:gutter="0" w:footer="0" w:header="0"/>
          <w:type w:val="continuous"/>
        </w:sectPr>
      </w:pPr>
    </w:p>
    <w:bookmarkStart w:id="78" w:name="page79"/>
    <w:bookmarkEnd w:id="78"/>
    <w:p>
      <w:pPr>
        <w:spacing w:after="0" w:line="200" w:lineRule="exact"/>
        <w:rPr>
          <w:sz w:val="20"/>
          <w:szCs w:val="20"/>
          <w:color w:val="auto"/>
        </w:rPr>
      </w:pPr>
    </w:p>
    <w:p>
      <w:pPr>
        <w:spacing w:after="0" w:line="34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primarily due to continued growth at SquareTrade and increased premiums written by Allstate Dealer Services.</w:t>
      </w:r>
    </w:p>
    <w:p>
      <w:pPr>
        <w:spacing w:after="0" w:line="72" w:lineRule="exact"/>
        <w:rPr>
          <w:sz w:val="20"/>
          <w:szCs w:val="20"/>
          <w:color w:val="auto"/>
        </w:rPr>
      </w:pPr>
    </w:p>
    <w:p>
      <w:pPr>
        <w:ind w:firstLine="324"/>
        <w:spacing w:after="0" w:line="264" w:lineRule="auto"/>
        <w:rPr>
          <w:sz w:val="20"/>
          <w:szCs w:val="20"/>
          <w:color w:val="auto"/>
        </w:rPr>
      </w:pPr>
      <w:r>
        <w:rPr>
          <w:rFonts w:ascii="Arial" w:cs="Arial" w:eastAsia="Arial" w:hAnsi="Arial"/>
          <w:sz w:val="16"/>
          <w:szCs w:val="16"/>
          <w:i w:val="1"/>
          <w:iCs w:val="1"/>
          <w:color w:val="1666AF"/>
        </w:rPr>
        <w:t xml:space="preserve">PIF </w:t>
      </w:r>
      <w:r>
        <w:rPr>
          <w:rFonts w:ascii="Arial" w:cs="Arial" w:eastAsia="Arial" w:hAnsi="Arial"/>
          <w:sz w:val="16"/>
          <w:szCs w:val="16"/>
          <w:color w:val="000000"/>
        </w:rPr>
        <w:t>of 83.6 million as of March 31, 2019, increased by 79.7% compared</w:t>
      </w:r>
      <w:r>
        <w:rPr>
          <w:rFonts w:ascii="Arial" w:cs="Arial" w:eastAsia="Arial" w:hAnsi="Arial"/>
          <w:sz w:val="16"/>
          <w:szCs w:val="16"/>
          <w:i w:val="1"/>
          <w:iCs w:val="1"/>
          <w:color w:val="1666AF"/>
        </w:rPr>
        <w:t xml:space="preserve"> </w:t>
      </w:r>
      <w:r>
        <w:rPr>
          <w:rFonts w:ascii="Arial" w:cs="Arial" w:eastAsia="Arial" w:hAnsi="Arial"/>
          <w:sz w:val="16"/>
          <w:szCs w:val="16"/>
          <w:color w:val="000000"/>
        </w:rPr>
        <w:t>to 46.5 million as of March 31, 2018, due to continued growth at SquareTrade.</w:t>
      </w:r>
    </w:p>
    <w:p>
      <w:pPr>
        <w:spacing w:after="0" w:line="68" w:lineRule="exact"/>
        <w:rPr>
          <w:sz w:val="20"/>
          <w:szCs w:val="20"/>
          <w:color w:val="auto"/>
        </w:rPr>
      </w:pPr>
    </w:p>
    <w:p>
      <w:pPr>
        <w:jc w:val="both"/>
        <w:ind w:right="300" w:firstLine="324"/>
        <w:spacing w:after="0" w:line="258" w:lineRule="auto"/>
        <w:rPr>
          <w:sz w:val="20"/>
          <w:szCs w:val="20"/>
          <w:color w:val="auto"/>
        </w:rPr>
      </w:pPr>
      <w:r>
        <w:rPr>
          <w:rFonts w:ascii="Arial" w:cs="Arial" w:eastAsia="Arial" w:hAnsi="Arial"/>
          <w:sz w:val="16"/>
          <w:szCs w:val="16"/>
          <w:i w:val="1"/>
          <w:iCs w:val="1"/>
          <w:color w:val="1666AF"/>
        </w:rPr>
        <w:t xml:space="preserve">Intersegment premiums and service fees </w:t>
      </w:r>
      <w:r>
        <w:rPr>
          <w:rFonts w:ascii="Arial" w:cs="Arial" w:eastAsia="Arial" w:hAnsi="Arial"/>
          <w:sz w:val="16"/>
          <w:szCs w:val="16"/>
          <w:color w:val="000000"/>
        </w:rPr>
        <w:t>increased by 13.8% or $4</w:t>
      </w:r>
      <w:r>
        <w:rPr>
          <w:rFonts w:ascii="Arial" w:cs="Arial" w:eastAsia="Arial" w:hAnsi="Arial"/>
          <w:sz w:val="16"/>
          <w:szCs w:val="16"/>
          <w:i w:val="1"/>
          <w:iCs w:val="1"/>
          <w:color w:val="1666AF"/>
        </w:rPr>
        <w:t xml:space="preserve"> </w:t>
      </w:r>
      <w:r>
        <w:rPr>
          <w:rFonts w:ascii="Arial" w:cs="Arial" w:eastAsia="Arial" w:hAnsi="Arial"/>
          <w:sz w:val="16"/>
          <w:szCs w:val="16"/>
          <w:color w:val="000000"/>
        </w:rPr>
        <w:t>million to $33 million in first quarter 2019 from $29 million in first quarter 2018, primarily due to increased auto connections through Arity’s device and mobile data collection services and analytic solutions.</w:t>
      </w:r>
    </w:p>
    <w:p>
      <w:pPr>
        <w:spacing w:after="0" w:line="73" w:lineRule="exact"/>
        <w:rPr>
          <w:sz w:val="20"/>
          <w:szCs w:val="20"/>
          <w:color w:val="auto"/>
        </w:rPr>
      </w:pPr>
    </w:p>
    <w:p>
      <w:pPr>
        <w:ind w:right="40" w:firstLine="324"/>
        <w:spacing w:after="0" w:line="253" w:lineRule="auto"/>
        <w:rPr>
          <w:sz w:val="20"/>
          <w:szCs w:val="20"/>
          <w:color w:val="auto"/>
        </w:rPr>
      </w:pPr>
      <w:r>
        <w:rPr>
          <w:rFonts w:ascii="Arial" w:cs="Arial" w:eastAsia="Arial" w:hAnsi="Arial"/>
          <w:sz w:val="16"/>
          <w:szCs w:val="16"/>
          <w:i w:val="1"/>
          <w:iCs w:val="1"/>
          <w:color w:val="1666AF"/>
        </w:rPr>
        <w:t xml:space="preserve">Other revenue </w:t>
      </w:r>
      <w:r>
        <w:rPr>
          <w:rFonts w:ascii="Arial" w:cs="Arial" w:eastAsia="Arial" w:hAnsi="Arial"/>
          <w:sz w:val="16"/>
          <w:szCs w:val="16"/>
          <w:color w:val="000000"/>
        </w:rPr>
        <w:t>increased by $31 million to $47 million in first quarter</w:t>
      </w:r>
      <w:r>
        <w:rPr>
          <w:rFonts w:ascii="Arial" w:cs="Arial" w:eastAsia="Arial" w:hAnsi="Arial"/>
          <w:sz w:val="16"/>
          <w:szCs w:val="16"/>
          <w:i w:val="1"/>
          <w:iCs w:val="1"/>
          <w:color w:val="1666AF"/>
        </w:rPr>
        <w:t xml:space="preserve"> </w:t>
      </w:r>
      <w:r>
        <w:rPr>
          <w:rFonts w:ascii="Arial" w:cs="Arial" w:eastAsia="Arial" w:hAnsi="Arial"/>
          <w:sz w:val="16"/>
          <w:szCs w:val="16"/>
          <w:color w:val="000000"/>
        </w:rPr>
        <w:t>2019 from $16 million in first quarter 2018, due to the acquisition of InfoArmor and SquareTrade’s acquisitions of PlumChoice and iCracked. All of the revenue from these acquired businesses is reported as other revenue. See Note 3 of the condensed consolidated financial statements for further information regarding these acquisitions.</w:t>
      </w:r>
    </w:p>
    <w:p>
      <w:pPr>
        <w:spacing w:after="0" w:line="20" w:lineRule="exact"/>
        <w:rPr>
          <w:sz w:val="20"/>
          <w:szCs w:val="20"/>
          <w:color w:val="auto"/>
        </w:rPr>
      </w:pPr>
      <w:r>
        <w:rPr>
          <w:sz w:val="20"/>
          <w:szCs w:val="20"/>
          <w:color w:val="auto"/>
        </w:rPr>
        <w:br w:type="column"/>
      </w:r>
    </w:p>
    <w:p>
      <w:pPr>
        <w:ind w:left="2780"/>
        <w:spacing w:after="0"/>
        <w:rPr>
          <w:sz w:val="20"/>
          <w:szCs w:val="20"/>
          <w:color w:val="auto"/>
        </w:rPr>
      </w:pPr>
      <w:r>
        <w:rPr>
          <w:rFonts w:ascii="Arial" w:cs="Arial" w:eastAsia="Arial" w:hAnsi="Arial"/>
          <w:sz w:val="16"/>
          <w:szCs w:val="16"/>
          <w:color w:val="auto"/>
        </w:rPr>
        <w:t xml:space="preserve">Service Businesses </w:t>
      </w:r>
      <w:r>
        <w:rPr>
          <w:rFonts w:ascii="Arial" w:cs="Arial" w:eastAsia="Arial" w:hAnsi="Arial"/>
          <w:sz w:val="16"/>
          <w:szCs w:val="16"/>
          <w:color w:val="005BA5"/>
        </w:rPr>
        <w:t>Segment Results</w:t>
      </w:r>
    </w:p>
    <w:p>
      <w:pPr>
        <w:spacing w:after="0" w:line="340" w:lineRule="exact"/>
        <w:rPr>
          <w:sz w:val="20"/>
          <w:szCs w:val="20"/>
          <w:color w:val="auto"/>
        </w:rPr>
      </w:pPr>
    </w:p>
    <w:p>
      <w:pPr>
        <w:ind w:right="100" w:firstLine="324"/>
        <w:spacing w:after="0" w:line="258" w:lineRule="auto"/>
        <w:rPr>
          <w:sz w:val="20"/>
          <w:szCs w:val="20"/>
          <w:color w:val="auto"/>
        </w:rPr>
      </w:pPr>
      <w:r>
        <w:rPr>
          <w:rFonts w:ascii="Arial" w:cs="Arial" w:eastAsia="Arial" w:hAnsi="Arial"/>
          <w:sz w:val="16"/>
          <w:szCs w:val="16"/>
          <w:i w:val="1"/>
          <w:iCs w:val="1"/>
          <w:color w:val="1666AF"/>
        </w:rPr>
        <w:t xml:space="preserve">Claims and claims expense </w:t>
      </w:r>
      <w:r>
        <w:rPr>
          <w:rFonts w:ascii="Arial" w:cs="Arial" w:eastAsia="Arial" w:hAnsi="Arial"/>
          <w:sz w:val="16"/>
          <w:szCs w:val="16"/>
          <w:color w:val="000000"/>
        </w:rPr>
        <w:t>decreased 1.1% to $92 million in first</w:t>
      </w:r>
      <w:r>
        <w:rPr>
          <w:rFonts w:ascii="Arial" w:cs="Arial" w:eastAsia="Arial" w:hAnsi="Arial"/>
          <w:sz w:val="16"/>
          <w:szCs w:val="16"/>
          <w:i w:val="1"/>
          <w:iCs w:val="1"/>
          <w:color w:val="1666AF"/>
        </w:rPr>
        <w:t xml:space="preserve"> </w:t>
      </w:r>
      <w:r>
        <w:rPr>
          <w:rFonts w:ascii="Arial" w:cs="Arial" w:eastAsia="Arial" w:hAnsi="Arial"/>
          <w:sz w:val="16"/>
          <w:szCs w:val="16"/>
          <w:color w:val="000000"/>
        </w:rPr>
        <w:t>quarter 2019 compared to $93 million in first quarter 2018. The decrease was primarily due to improved loss experience at SquareTrade and Allstate Dealer Services.</w:t>
      </w:r>
    </w:p>
    <w:p>
      <w:pPr>
        <w:spacing w:after="0" w:line="73" w:lineRule="exact"/>
        <w:rPr>
          <w:sz w:val="20"/>
          <w:szCs w:val="20"/>
          <w:color w:val="auto"/>
        </w:rPr>
      </w:pPr>
    </w:p>
    <w:p>
      <w:pPr>
        <w:ind w:right="120" w:firstLine="324"/>
        <w:spacing w:after="0" w:line="258" w:lineRule="auto"/>
        <w:rPr>
          <w:sz w:val="20"/>
          <w:szCs w:val="20"/>
          <w:color w:val="auto"/>
        </w:rPr>
      </w:pPr>
      <w:r>
        <w:rPr>
          <w:rFonts w:ascii="Arial" w:cs="Arial" w:eastAsia="Arial" w:hAnsi="Arial"/>
          <w:sz w:val="16"/>
          <w:szCs w:val="16"/>
          <w:i w:val="1"/>
          <w:iCs w:val="1"/>
          <w:color w:val="1666AF"/>
        </w:rPr>
        <w:t xml:space="preserve">Amortization of DAC </w:t>
      </w:r>
      <w:r>
        <w:rPr>
          <w:rFonts w:ascii="Arial" w:cs="Arial" w:eastAsia="Arial" w:hAnsi="Arial"/>
          <w:sz w:val="16"/>
          <w:szCs w:val="16"/>
          <w:color w:val="000000"/>
        </w:rPr>
        <w:t>increased 15.5% or $17 million to $127 million in</w:t>
      </w:r>
      <w:r>
        <w:rPr>
          <w:rFonts w:ascii="Arial" w:cs="Arial" w:eastAsia="Arial" w:hAnsi="Arial"/>
          <w:sz w:val="16"/>
          <w:szCs w:val="16"/>
          <w:i w:val="1"/>
          <w:iCs w:val="1"/>
          <w:color w:val="1666AF"/>
        </w:rPr>
        <w:t xml:space="preserve"> </w:t>
      </w:r>
      <w:r>
        <w:rPr>
          <w:rFonts w:ascii="Arial" w:cs="Arial" w:eastAsia="Arial" w:hAnsi="Arial"/>
          <w:sz w:val="16"/>
          <w:szCs w:val="16"/>
          <w:color w:val="000000"/>
        </w:rPr>
        <w:t>the first quarter of 2019 from $110 million in the first quarter of 2018. The increase is in line with the growth experienced at SquareTrade and Allstate Dealer Services.</w:t>
      </w:r>
    </w:p>
    <w:p>
      <w:pPr>
        <w:spacing w:after="0" w:line="73" w:lineRule="exact"/>
        <w:rPr>
          <w:sz w:val="20"/>
          <w:szCs w:val="20"/>
          <w:color w:val="auto"/>
        </w:rPr>
      </w:pPr>
    </w:p>
    <w:p>
      <w:pPr>
        <w:ind w:right="120" w:firstLine="324"/>
        <w:spacing w:after="0" w:line="255" w:lineRule="auto"/>
        <w:rPr>
          <w:sz w:val="20"/>
          <w:szCs w:val="20"/>
          <w:color w:val="auto"/>
        </w:rPr>
      </w:pPr>
      <w:r>
        <w:rPr>
          <w:rFonts w:ascii="Arial" w:cs="Arial" w:eastAsia="Arial" w:hAnsi="Arial"/>
          <w:sz w:val="16"/>
          <w:szCs w:val="16"/>
          <w:i w:val="1"/>
          <w:iCs w:val="1"/>
          <w:color w:val="1666AF"/>
        </w:rPr>
        <w:t xml:space="preserve">Operating costs and expenses </w:t>
      </w:r>
      <w:r>
        <w:rPr>
          <w:rFonts w:ascii="Arial" w:cs="Arial" w:eastAsia="Arial" w:hAnsi="Arial"/>
          <w:sz w:val="16"/>
          <w:szCs w:val="16"/>
          <w:color w:val="000000"/>
        </w:rPr>
        <w:t>increased 29.1% or $34 million to $151</w:t>
      </w:r>
      <w:r>
        <w:rPr>
          <w:rFonts w:ascii="Arial" w:cs="Arial" w:eastAsia="Arial" w:hAnsi="Arial"/>
          <w:sz w:val="16"/>
          <w:szCs w:val="16"/>
          <w:i w:val="1"/>
          <w:iCs w:val="1"/>
          <w:color w:val="1666AF"/>
        </w:rPr>
        <w:t xml:space="preserve"> </w:t>
      </w:r>
      <w:r>
        <w:rPr>
          <w:rFonts w:ascii="Arial" w:cs="Arial" w:eastAsia="Arial" w:hAnsi="Arial"/>
          <w:sz w:val="16"/>
          <w:szCs w:val="16"/>
          <w:color w:val="000000"/>
        </w:rPr>
        <w:t>million in the first quarter of 2019 from $117 million in the first quarter of 2018. The increase was primarily due to the acquisitions of InfoArmor, PlumChoice and iCracked, product development costs, and investments in expanding the business at SquareTrade.</w:t>
      </w:r>
    </w:p>
    <w:p>
      <w:pPr>
        <w:spacing w:after="0" w:line="76" w:lineRule="exact"/>
        <w:rPr>
          <w:sz w:val="20"/>
          <w:szCs w:val="20"/>
          <w:color w:val="auto"/>
        </w:rPr>
      </w:pPr>
    </w:p>
    <w:p>
      <w:pPr>
        <w:ind w:right="40" w:firstLine="324"/>
        <w:spacing w:after="0" w:line="253" w:lineRule="auto"/>
        <w:rPr>
          <w:sz w:val="20"/>
          <w:szCs w:val="20"/>
          <w:color w:val="auto"/>
        </w:rPr>
      </w:pPr>
      <w:r>
        <w:rPr>
          <w:rFonts w:ascii="Arial" w:cs="Arial" w:eastAsia="Arial" w:hAnsi="Arial"/>
          <w:sz w:val="16"/>
          <w:szCs w:val="16"/>
          <w:i w:val="1"/>
          <w:iCs w:val="1"/>
          <w:color w:val="1666AF"/>
        </w:rPr>
        <w:t xml:space="preserve">Amortization of purchased intangible assets </w:t>
      </w:r>
      <w:r>
        <w:rPr>
          <w:rFonts w:ascii="Arial" w:cs="Arial" w:eastAsia="Arial" w:hAnsi="Arial"/>
          <w:sz w:val="16"/>
          <w:szCs w:val="16"/>
          <w:color w:val="000000"/>
        </w:rPr>
        <w:t>relates to the acquisitions</w:t>
      </w:r>
      <w:r>
        <w:rPr>
          <w:rFonts w:ascii="Arial" w:cs="Arial" w:eastAsia="Arial" w:hAnsi="Arial"/>
          <w:sz w:val="16"/>
          <w:szCs w:val="16"/>
          <w:i w:val="1"/>
          <w:iCs w:val="1"/>
          <w:color w:val="1666AF"/>
        </w:rPr>
        <w:t xml:space="preserve"> </w:t>
      </w:r>
      <w:r>
        <w:rPr>
          <w:rFonts w:ascii="Arial" w:cs="Arial" w:eastAsia="Arial" w:hAnsi="Arial"/>
          <w:sz w:val="16"/>
          <w:szCs w:val="16"/>
          <w:color w:val="000000"/>
        </w:rPr>
        <w:t>of SquareTrade in 2017 and InfoArmor in 2018. We recognized $486 million and $257 million of intangible assets subject to amortization for SquareTrade and InfoArmor, respectively. We recorded amortization expense of $31 million in the first quarter of 2019 compared to $21 million in the first quarter of 2018.</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75</w:t>
      </w:r>
    </w:p>
    <w:p>
      <w:pPr>
        <w:sectPr>
          <w:pgSz w:w="11900" w:h="16838" w:orient="portrait"/>
          <w:cols w:equalWidth="0" w:num="2">
            <w:col w:w="5480" w:space="460"/>
            <w:col w:w="5480"/>
          </w:cols>
          <w:pgMar w:left="240" w:top="141" w:right="239" w:bottom="1440" w:gutter="0" w:footer="0" w:header="0"/>
        </w:sectPr>
      </w:pPr>
    </w:p>
    <w:bookmarkStart w:id="79" w:name="page80"/>
    <w:bookmarkEnd w:id="79"/>
    <w:p>
      <w:pPr>
        <w:spacing w:after="0"/>
        <w:rPr>
          <w:sz w:val="20"/>
          <w:szCs w:val="20"/>
          <w:color w:val="auto"/>
        </w:rPr>
      </w:pPr>
      <w:r>
        <w:rPr>
          <w:rFonts w:ascii="Arial" w:cs="Arial" w:eastAsia="Arial" w:hAnsi="Arial"/>
          <w:sz w:val="16"/>
          <w:szCs w:val="16"/>
          <w:color w:val="005BA5"/>
        </w:rPr>
        <w:t xml:space="preserve">Segment Results </w:t>
      </w:r>
      <w:r>
        <w:rPr>
          <w:rFonts w:ascii="Arial" w:cs="Arial" w:eastAsia="Arial" w:hAnsi="Arial"/>
          <w:sz w:val="16"/>
          <w:szCs w:val="16"/>
          <w:color w:val="000000"/>
        </w:rPr>
        <w:t>Allstate Life</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Allstate Life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Summarized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 and contract charges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327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486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472</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Contract benefits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Interest credited to contractholder funds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DAC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(391)</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67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67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005BA5"/>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005BA5"/>
            </w:tcBorders>
          </w:tcPr>
          <w:p>
            <w:pPr>
              <w:spacing w:after="0"/>
              <w:rPr>
                <w:sz w:val="13"/>
                <w:szCs w:val="13"/>
                <w:color w:val="auto"/>
              </w:rPr>
            </w:pPr>
          </w:p>
        </w:tc>
        <w:tc>
          <w:tcPr>
            <w:tcW w:w="1060" w:type="dxa"/>
            <w:vAlign w:val="bottom"/>
            <w:tcBorders>
              <w:top w:val="single" w:sz="8" w:color="005BA5"/>
              <w:bottom w:val="single" w:sz="8" w:color="005BA5"/>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005BA5"/>
            </w:tcBorders>
          </w:tcPr>
          <w:p>
            <w:pPr>
              <w:spacing w:after="0"/>
              <w:rPr>
                <w:sz w:val="13"/>
                <w:szCs w:val="13"/>
                <w:color w:val="auto"/>
              </w:rPr>
            </w:pPr>
          </w:p>
        </w:tc>
        <w:tc>
          <w:tcPr>
            <w:tcW w:w="1040" w:type="dxa"/>
            <w:vAlign w:val="bottom"/>
            <w:tcBorders>
              <w:top w:val="single" w:sz="8" w:color="005BA5"/>
              <w:bottom w:val="single" w:sz="8" w:color="005BA5"/>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71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after-tax</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DAC and DSI amortization related to realized capital gains and losses, after-tax</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67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67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Reserve for life-contingent contract benefits as of March 31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2,698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2,637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Contractholder funds as of March 31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7,686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7,603</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Policies in force as of March 31 by distribution channel (in thousands)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Allstate agencies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1,816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Closed channels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ind w:left="340"/>
              <w:spacing w:after="0"/>
              <w:rPr>
                <w:sz w:val="20"/>
                <w:szCs w:val="20"/>
                <w:color w:val="auto"/>
              </w:rPr>
            </w:pPr>
            <w:r>
              <w:rPr>
                <w:rFonts w:ascii="Arial" w:cs="Arial" w:eastAsia="Arial" w:hAnsi="Arial"/>
                <w:sz w:val="16"/>
                <w:szCs w:val="16"/>
                <w:i w:val="1"/>
                <w:iCs w:val="1"/>
                <w:color w:val="1666AF"/>
              </w:rPr>
              <w:t xml:space="preserve">Net income applicable to common shareholders </w:t>
            </w:r>
            <w:r>
              <w:rPr>
                <w:rFonts w:ascii="Arial" w:cs="Arial" w:eastAsia="Arial" w:hAnsi="Arial"/>
                <w:sz w:val="16"/>
                <w:szCs w:val="16"/>
                <w:color w:val="000000"/>
              </w:rPr>
              <w:t>was $67 million in both</w:t>
            </w:r>
          </w:p>
        </w:tc>
        <w:tc>
          <w:tcPr>
            <w:tcW w:w="5720" w:type="dxa"/>
            <w:vAlign w:val="bottom"/>
            <w:gridSpan w:val="7"/>
          </w:tcPr>
          <w:p>
            <w:pPr>
              <w:ind w:left="240"/>
              <w:spacing w:after="0"/>
              <w:rPr>
                <w:sz w:val="20"/>
                <w:szCs w:val="20"/>
                <w:color w:val="auto"/>
              </w:rPr>
            </w:pPr>
            <w:r>
              <w:rPr>
                <w:rFonts w:ascii="Arial" w:cs="Arial" w:eastAsia="Arial" w:hAnsi="Arial"/>
                <w:sz w:val="16"/>
                <w:szCs w:val="16"/>
                <w:color w:val="auto"/>
              </w:rPr>
              <w:t>investment income, partially offset by higher contract benefits and operating</w:t>
            </w:r>
          </w:p>
        </w:tc>
      </w:tr>
      <w:tr>
        <w:trPr>
          <w:trHeight w:val="195"/>
        </w:trPr>
        <w:tc>
          <w:tcPr>
            <w:tcW w:w="5700" w:type="dxa"/>
            <w:vAlign w:val="bottom"/>
          </w:tcPr>
          <w:p>
            <w:pPr>
              <w:spacing w:after="0"/>
              <w:rPr>
                <w:sz w:val="20"/>
                <w:szCs w:val="20"/>
                <w:color w:val="auto"/>
              </w:rPr>
            </w:pPr>
            <w:r>
              <w:rPr>
                <w:rFonts w:ascii="Arial" w:cs="Arial" w:eastAsia="Arial" w:hAnsi="Arial"/>
                <w:sz w:val="16"/>
                <w:szCs w:val="16"/>
                <w:color w:val="auto"/>
              </w:rPr>
              <w:t>the first quarter of 2019 and 2018.</w:t>
            </w:r>
          </w:p>
        </w:tc>
        <w:tc>
          <w:tcPr>
            <w:tcW w:w="3120" w:type="dxa"/>
            <w:vAlign w:val="bottom"/>
            <w:gridSpan w:val="3"/>
          </w:tcPr>
          <w:p>
            <w:pPr>
              <w:ind w:left="240"/>
              <w:spacing w:after="0"/>
              <w:rPr>
                <w:sz w:val="20"/>
                <w:szCs w:val="20"/>
                <w:color w:val="auto"/>
              </w:rPr>
            </w:pPr>
            <w:r>
              <w:rPr>
                <w:rFonts w:ascii="Arial" w:cs="Arial" w:eastAsia="Arial" w:hAnsi="Arial"/>
                <w:sz w:val="16"/>
                <w:szCs w:val="16"/>
                <w:color w:val="auto"/>
              </w:rPr>
              <w:t>costs and expenses.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92"/>
        </w:trPr>
        <w:tc>
          <w:tcPr>
            <w:tcW w:w="5700" w:type="dxa"/>
            <w:vAlign w:val="bottom"/>
          </w:tcPr>
          <w:p>
            <w:pPr>
              <w:ind w:left="340"/>
              <w:spacing w:after="0"/>
              <w:rPr>
                <w:sz w:val="20"/>
                <w:szCs w:val="20"/>
                <w:color w:val="auto"/>
              </w:rPr>
            </w:pPr>
            <w:r>
              <w:rPr>
                <w:rFonts w:ascii="Arial" w:cs="Arial" w:eastAsia="Arial" w:hAnsi="Arial"/>
                <w:sz w:val="16"/>
                <w:szCs w:val="16"/>
                <w:i w:val="1"/>
                <w:iCs w:val="1"/>
                <w:color w:val="1666AF"/>
              </w:rPr>
              <w:t xml:space="preserve">Adjusted net income </w:t>
            </w:r>
            <w:r>
              <w:rPr>
                <w:rFonts w:ascii="Arial" w:cs="Arial" w:eastAsia="Arial" w:hAnsi="Arial"/>
                <w:sz w:val="16"/>
                <w:szCs w:val="16"/>
                <w:color w:val="000000"/>
              </w:rPr>
              <w:t>was $73 million in the first quarter of 2019</w:t>
            </w:r>
          </w:p>
        </w:tc>
        <w:tc>
          <w:tcPr>
            <w:tcW w:w="5720" w:type="dxa"/>
            <w:vAlign w:val="bottom"/>
            <w:gridSpan w:val="7"/>
          </w:tcPr>
          <w:p>
            <w:pPr>
              <w:ind w:left="560"/>
              <w:spacing w:after="0"/>
              <w:rPr>
                <w:sz w:val="20"/>
                <w:szCs w:val="20"/>
                <w:color w:val="auto"/>
              </w:rPr>
            </w:pPr>
            <w:r>
              <w:rPr>
                <w:rFonts w:ascii="Arial" w:cs="Arial" w:eastAsia="Arial" w:hAnsi="Arial"/>
                <w:sz w:val="16"/>
                <w:szCs w:val="16"/>
                <w:i w:val="1"/>
                <w:iCs w:val="1"/>
                <w:color w:val="1666AF"/>
              </w:rPr>
              <w:t xml:space="preserve">Premiums and contract charges </w:t>
            </w:r>
            <w:r>
              <w:rPr>
                <w:rFonts w:ascii="Arial" w:cs="Arial" w:eastAsia="Arial" w:hAnsi="Arial"/>
                <w:sz w:val="16"/>
                <w:szCs w:val="16"/>
                <w:color w:val="000000"/>
              </w:rPr>
              <w:t>increased 3.1% or $10 million in the</w:t>
            </w: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compared to $71 million in the first quarter of 2018. The increase was</w:t>
            </w:r>
          </w:p>
        </w:tc>
        <w:tc>
          <w:tcPr>
            <w:tcW w:w="5720" w:type="dxa"/>
            <w:vAlign w:val="bottom"/>
            <w:gridSpan w:val="7"/>
          </w:tcPr>
          <w:p>
            <w:pPr>
              <w:ind w:left="240"/>
              <w:spacing w:after="0"/>
              <w:rPr>
                <w:sz w:val="20"/>
                <w:szCs w:val="20"/>
                <w:color w:val="auto"/>
              </w:rPr>
            </w:pPr>
            <w:r>
              <w:rPr>
                <w:rFonts w:ascii="Arial" w:cs="Arial" w:eastAsia="Arial" w:hAnsi="Arial"/>
                <w:sz w:val="16"/>
                <w:szCs w:val="16"/>
                <w:color w:val="auto"/>
              </w:rPr>
              <w:t>first quarter of 2019 compared to the first quarter of 2018. The increase</w:t>
            </w: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primarily due to higher premiums and contract charges and net</w:t>
            </w:r>
          </w:p>
        </w:tc>
        <w:tc>
          <w:tcPr>
            <w:tcW w:w="5720" w:type="dxa"/>
            <w:vAlign w:val="bottom"/>
            <w:gridSpan w:val="7"/>
          </w:tcPr>
          <w:p>
            <w:pPr>
              <w:ind w:left="240"/>
              <w:spacing w:after="0"/>
              <w:rPr>
                <w:sz w:val="20"/>
                <w:szCs w:val="20"/>
                <w:color w:val="auto"/>
              </w:rPr>
            </w:pPr>
            <w:r>
              <w:rPr>
                <w:rFonts w:ascii="Arial" w:cs="Arial" w:eastAsia="Arial" w:hAnsi="Arial"/>
                <w:sz w:val="16"/>
                <w:szCs w:val="16"/>
                <w:color w:val="auto"/>
              </w:rPr>
              <w:t>primarily relates to lower reinsurance premiums ceded as well as growth in</w:t>
            </w:r>
          </w:p>
        </w:tc>
      </w:tr>
      <w:tr>
        <w:trPr>
          <w:trHeight w:val="195"/>
        </w:trPr>
        <w:tc>
          <w:tcPr>
            <w:tcW w:w="5700" w:type="dxa"/>
            <w:vAlign w:val="bottom"/>
          </w:tcPr>
          <w:p>
            <w:pPr>
              <w:spacing w:after="0"/>
              <w:rPr>
                <w:sz w:val="16"/>
                <w:szCs w:val="16"/>
                <w:color w:val="auto"/>
              </w:rPr>
            </w:pPr>
          </w:p>
        </w:tc>
        <w:tc>
          <w:tcPr>
            <w:tcW w:w="3120" w:type="dxa"/>
            <w:vAlign w:val="bottom"/>
            <w:gridSpan w:val="3"/>
          </w:tcPr>
          <w:p>
            <w:pPr>
              <w:ind w:left="240"/>
              <w:spacing w:after="0"/>
              <w:rPr>
                <w:sz w:val="20"/>
                <w:szCs w:val="20"/>
                <w:color w:val="auto"/>
              </w:rPr>
            </w:pPr>
            <w:r>
              <w:rPr>
                <w:rFonts w:ascii="Arial" w:cs="Arial" w:eastAsia="Arial" w:hAnsi="Arial"/>
                <w:sz w:val="16"/>
                <w:szCs w:val="16"/>
                <w:color w:val="auto"/>
              </w:rPr>
              <w:t>traditional life insurance.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28"/>
        </w:trPr>
        <w:tc>
          <w:tcPr>
            <w:tcW w:w="570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230"/>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Premiums and contract charges by product</w:t>
            </w:r>
          </w:p>
        </w:tc>
        <w:tc>
          <w:tcPr>
            <w:tcW w:w="2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37"/>
        </w:trPr>
        <w:tc>
          <w:tcPr>
            <w:tcW w:w="57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97"/>
        </w:trPr>
        <w:tc>
          <w:tcPr>
            <w:tcW w:w="570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2760" w:type="dxa"/>
            <w:vAlign w:val="bottom"/>
            <w:tcBorders>
              <w:bottom w:val="single" w:sz="8" w:color="005BA5"/>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005BA5"/>
            </w:tcBorders>
          </w:tcPr>
          <w:p>
            <w:pPr>
              <w:spacing w:after="0"/>
              <w:rPr>
                <w:sz w:val="24"/>
                <w:szCs w:val="24"/>
                <w:color w:val="auto"/>
              </w:rPr>
            </w:pPr>
          </w:p>
        </w:tc>
        <w:tc>
          <w:tcPr>
            <w:tcW w:w="11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4"/>
                <w:szCs w:val="24"/>
                <w:color w:val="auto"/>
              </w:rPr>
            </w:pPr>
          </w:p>
        </w:tc>
        <w:tc>
          <w:tcPr>
            <w:tcW w:w="320" w:type="dxa"/>
            <w:vAlign w:val="bottom"/>
            <w:tcBorders>
              <w:bottom w:val="single" w:sz="8" w:color="005BA5"/>
            </w:tcBorders>
          </w:tcPr>
          <w:p>
            <w:pPr>
              <w:spacing w:after="0"/>
              <w:rPr>
                <w:sz w:val="24"/>
                <w:szCs w:val="24"/>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5700" w:type="dxa"/>
            <w:vAlign w:val="bottom"/>
          </w:tcPr>
          <w:p>
            <w:pPr>
              <w:ind w:left="40"/>
              <w:spacing w:after="0"/>
              <w:rPr>
                <w:sz w:val="20"/>
                <w:szCs w:val="20"/>
                <w:color w:val="auto"/>
              </w:rPr>
            </w:pPr>
            <w:r>
              <w:rPr>
                <w:rFonts w:ascii="Arial" w:cs="Arial" w:eastAsia="Arial" w:hAnsi="Arial"/>
                <w:sz w:val="16"/>
                <w:szCs w:val="16"/>
                <w:color w:val="auto"/>
              </w:rPr>
              <w:t>Traditional life insurance premiums</w:t>
            </w:r>
          </w:p>
        </w:tc>
        <w:tc>
          <w:tcPr>
            <w:tcW w:w="3120" w:type="dxa"/>
            <w:vAlign w:val="bottom"/>
            <w:gridSpan w:val="3"/>
          </w:tcPr>
          <w:p>
            <w:pPr>
              <w:ind w:left="29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5700" w:type="dxa"/>
            <w:vAlign w:val="bottom"/>
            <w:tcBorders>
              <w:bottom w:val="single" w:sz="8" w:color="ACACAC"/>
            </w:tcBorders>
          </w:tcPr>
          <w:p>
            <w:pPr>
              <w:spacing w:after="0"/>
              <w:rPr>
                <w:sz w:val="2"/>
                <w:szCs w:val="2"/>
                <w:color w:val="auto"/>
              </w:rPr>
            </w:pPr>
          </w:p>
        </w:tc>
        <w:tc>
          <w:tcPr>
            <w:tcW w:w="27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5700" w:type="dxa"/>
            <w:vAlign w:val="bottom"/>
          </w:tcPr>
          <w:p>
            <w:pPr>
              <w:ind w:left="40"/>
              <w:spacing w:after="0"/>
              <w:rPr>
                <w:sz w:val="20"/>
                <w:szCs w:val="20"/>
                <w:color w:val="auto"/>
              </w:rPr>
            </w:pPr>
            <w:r>
              <w:rPr>
                <w:rFonts w:ascii="Arial" w:cs="Arial" w:eastAsia="Arial" w:hAnsi="Arial"/>
                <w:sz w:val="16"/>
                <w:szCs w:val="16"/>
                <w:color w:val="auto"/>
              </w:rPr>
              <w:t>Interest-sensitive life insurance contract charges</w:t>
            </w:r>
          </w:p>
        </w:tc>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181</w:t>
            </w:r>
          </w:p>
        </w:tc>
      </w:tr>
      <w:tr>
        <w:trPr>
          <w:trHeight w:val="33"/>
        </w:trPr>
        <w:tc>
          <w:tcPr>
            <w:tcW w:w="5700" w:type="dxa"/>
            <w:vAlign w:val="bottom"/>
            <w:tcBorders>
              <w:bottom w:val="single" w:sz="8" w:color="005BA5"/>
            </w:tcBorders>
          </w:tcPr>
          <w:p>
            <w:pPr>
              <w:spacing w:after="0"/>
              <w:rPr>
                <w:sz w:val="2"/>
                <w:szCs w:val="2"/>
                <w:color w:val="auto"/>
              </w:rPr>
            </w:pPr>
          </w:p>
        </w:tc>
        <w:tc>
          <w:tcPr>
            <w:tcW w:w="27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317"/>
        </w:trPr>
        <w:tc>
          <w:tcPr>
            <w:tcW w:w="5700" w:type="dxa"/>
            <w:vAlign w:val="bottom"/>
          </w:tcPr>
          <w:p>
            <w:pPr>
              <w:ind w:left="40"/>
              <w:spacing w:after="0"/>
              <w:rPr>
                <w:sz w:val="20"/>
                <w:szCs w:val="20"/>
                <w:color w:val="auto"/>
              </w:rPr>
            </w:pPr>
            <w:r>
              <w:rPr>
                <w:rFonts w:ascii="Arial" w:cs="Arial" w:eastAsia="Arial" w:hAnsi="Arial"/>
                <w:sz w:val="16"/>
                <w:szCs w:val="16"/>
                <w:b w:val="1"/>
                <w:bCs w:val="1"/>
                <w:color w:val="auto"/>
              </w:rPr>
              <w:t xml:space="preserve">Premiums and contract charges </w:t>
            </w:r>
            <w:r>
              <w:rPr>
                <w:rFonts w:ascii="Arial" w:cs="Arial" w:eastAsia="Arial" w:hAnsi="Arial"/>
                <w:sz w:val="27"/>
                <w:szCs w:val="27"/>
                <w:color w:val="005BA5"/>
                <w:vertAlign w:val="superscript"/>
              </w:rPr>
              <w:t>(1)</w:t>
            </w:r>
          </w:p>
        </w:tc>
        <w:tc>
          <w:tcPr>
            <w:tcW w:w="3120" w:type="dxa"/>
            <w:vAlign w:val="bottom"/>
            <w:gridSpan w:val="3"/>
          </w:tcPr>
          <w:p>
            <w:pPr>
              <w:ind w:left="2920"/>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337</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91"/>
        <w:spacing w:after="0" w:line="185" w:lineRule="auto"/>
        <w:tabs>
          <w:tab w:leader="none" w:pos="280" w:val="left"/>
        </w:tabs>
        <w:numPr>
          <w:ilvl w:val="0"/>
          <w:numId w:val="76"/>
        </w:numPr>
        <w:rPr>
          <w:rFonts w:ascii="Arial" w:cs="Arial" w:eastAsia="Arial" w:hAnsi="Arial"/>
          <w:sz w:val="20"/>
          <w:szCs w:val="20"/>
          <w:color w:val="005BA5"/>
          <w:vertAlign w:val="superscript"/>
        </w:rPr>
      </w:pPr>
      <w:r>
        <w:rPr>
          <w:rFonts w:ascii="Arial" w:cs="Arial" w:eastAsia="Arial" w:hAnsi="Arial"/>
          <w:sz w:val="12"/>
          <w:szCs w:val="12"/>
          <w:color w:val="auto"/>
        </w:rPr>
        <w:t>Contract charges related to the cost of insurance totaled $129 million and $126 million for the first quarter of 2019 and 2018, respectively.</w:t>
      </w:r>
    </w:p>
    <w:p>
      <w:pPr>
        <w:sectPr>
          <w:pgSz w:w="11900" w:h="16838" w:orient="portrait"/>
          <w:cols w:equalWidth="0" w:num="1">
            <w:col w:w="11420"/>
          </w:cols>
          <w:pgMar w:left="240" w:top="141" w:right="239" w:bottom="1440" w:gutter="0" w:footer="0" w:header="0"/>
        </w:sectPr>
      </w:pPr>
    </w:p>
    <w:p>
      <w:pPr>
        <w:spacing w:after="0" w:line="109"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i w:val="1"/>
          <w:iCs w:val="1"/>
          <w:color w:val="1666AF"/>
        </w:rPr>
        <w:t xml:space="preserve">Contract benefits </w:t>
      </w:r>
      <w:r>
        <w:rPr>
          <w:rFonts w:ascii="Arial" w:cs="Arial" w:eastAsia="Arial" w:hAnsi="Arial"/>
          <w:sz w:val="16"/>
          <w:szCs w:val="16"/>
          <w:color w:val="000000"/>
        </w:rPr>
        <w:t>increased 4.4% or $9 million in the first quarter of</w:t>
      </w:r>
      <w:r>
        <w:rPr>
          <w:rFonts w:ascii="Arial" w:cs="Arial" w:eastAsia="Arial" w:hAnsi="Arial"/>
          <w:sz w:val="16"/>
          <w:szCs w:val="16"/>
          <w:i w:val="1"/>
          <w:iCs w:val="1"/>
          <w:color w:val="1666AF"/>
        </w:rPr>
        <w:t xml:space="preserve"> </w:t>
      </w:r>
      <w:r>
        <w:rPr>
          <w:rFonts w:ascii="Arial" w:cs="Arial" w:eastAsia="Arial" w:hAnsi="Arial"/>
          <w:sz w:val="16"/>
          <w:szCs w:val="16"/>
          <w:color w:val="000000"/>
        </w:rPr>
        <w:t>2019 compared to the first quarter of 2018, primarily due to higher claim experience on interest-sensitive life insurance and the establishment of an allowance for uncollectible reinsurance related to Scottish Re (U.S.), Inc.</w:t>
      </w:r>
    </w:p>
    <w:p>
      <w:pPr>
        <w:spacing w:after="0" w:line="79" w:lineRule="exact"/>
        <w:rPr>
          <w:sz w:val="20"/>
          <w:szCs w:val="20"/>
          <w:color w:val="auto"/>
        </w:rPr>
      </w:pPr>
    </w:p>
    <w:p>
      <w:pPr>
        <w:ind w:right="200" w:firstLine="324"/>
        <w:spacing w:after="0" w:line="281" w:lineRule="auto"/>
        <w:rPr>
          <w:sz w:val="20"/>
          <w:szCs w:val="20"/>
          <w:color w:val="auto"/>
        </w:rPr>
      </w:pPr>
      <w:r>
        <w:rPr>
          <w:rFonts w:ascii="Arial" w:cs="Arial" w:eastAsia="Arial" w:hAnsi="Arial"/>
          <w:sz w:val="16"/>
          <w:szCs w:val="16"/>
          <w:i w:val="1"/>
          <w:iCs w:val="1"/>
          <w:color w:val="005BA5"/>
        </w:rPr>
        <w:t xml:space="preserve">Benefit spread </w:t>
      </w:r>
      <w:r>
        <w:rPr>
          <w:rFonts w:ascii="Arial" w:cs="Arial" w:eastAsia="Arial" w:hAnsi="Arial"/>
          <w:sz w:val="16"/>
          <w:szCs w:val="16"/>
          <w:color w:val="000000"/>
        </w:rPr>
        <w:t>reflects our mortality and morbidity results using the</w:t>
      </w:r>
      <w:r>
        <w:rPr>
          <w:rFonts w:ascii="Arial" w:cs="Arial" w:eastAsia="Arial" w:hAnsi="Arial"/>
          <w:sz w:val="16"/>
          <w:szCs w:val="16"/>
          <w:i w:val="1"/>
          <w:iCs w:val="1"/>
          <w:color w:val="005BA5"/>
        </w:rPr>
        <w:t xml:space="preserve"> </w:t>
      </w:r>
      <w:r>
        <w:rPr>
          <w:rFonts w:ascii="Arial" w:cs="Arial" w:eastAsia="Arial" w:hAnsi="Arial"/>
          <w:sz w:val="16"/>
          <w:szCs w:val="16"/>
          <w:color w:val="000000"/>
        </w:rPr>
        <w:t>difference between premiums and</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contract charges earned for the cost of insurance and contract benefits (“benefit spread”). Benefit spread increased 3.0% to $69 million in the first quarter of 2019 compared to $67 million in the first quarter of 2018, primarily due to growth in traditional life premiums, partially offset by higher claim experience on interest-sensitive life insurance.</w:t>
      </w:r>
    </w:p>
    <w:p>
      <w:pPr>
        <w:spacing w:after="0" w:line="25" w:lineRule="exact"/>
        <w:rPr>
          <w:sz w:val="20"/>
          <w:szCs w:val="20"/>
          <w:color w:val="auto"/>
        </w:rPr>
      </w:pPr>
    </w:p>
    <w:p>
      <w:pPr>
        <w:ind w:right="480" w:firstLine="324"/>
        <w:spacing w:after="0" w:line="281" w:lineRule="auto"/>
        <w:rPr>
          <w:sz w:val="20"/>
          <w:szCs w:val="20"/>
          <w:color w:val="auto"/>
        </w:rPr>
      </w:pPr>
      <w:r>
        <w:rPr>
          <w:rFonts w:ascii="Arial" w:cs="Arial" w:eastAsia="Arial" w:hAnsi="Arial"/>
          <w:sz w:val="16"/>
          <w:szCs w:val="16"/>
          <w:i w:val="1"/>
          <w:iCs w:val="1"/>
          <w:color w:val="1666AF"/>
        </w:rPr>
        <w:t xml:space="preserve">Investment spread </w:t>
      </w:r>
      <w:r>
        <w:rPr>
          <w:rFonts w:ascii="Arial" w:cs="Arial" w:eastAsia="Arial" w:hAnsi="Arial"/>
          <w:sz w:val="16"/>
          <w:szCs w:val="16"/>
          <w:color w:val="000000"/>
        </w:rPr>
        <w:t>reflects the difference between net investment</w:t>
      </w:r>
      <w:r>
        <w:rPr>
          <w:rFonts w:ascii="Arial" w:cs="Arial" w:eastAsia="Arial" w:hAnsi="Arial"/>
          <w:sz w:val="16"/>
          <w:szCs w:val="16"/>
          <w:i w:val="1"/>
          <w:iCs w:val="1"/>
          <w:color w:val="1666AF"/>
        </w:rPr>
        <w:t xml:space="preserve"> </w:t>
      </w:r>
      <w:r>
        <w:rPr>
          <w:rFonts w:ascii="Arial" w:cs="Arial" w:eastAsia="Arial" w:hAnsi="Arial"/>
          <w:sz w:val="16"/>
          <w:szCs w:val="16"/>
          <w:color w:val="000000"/>
        </w:rPr>
        <w:t>income and interest credited to</w:t>
      </w:r>
    </w:p>
    <w:p>
      <w:pPr>
        <w:spacing w:after="0" w:line="200" w:lineRule="exact"/>
        <w:rPr>
          <w:sz w:val="20"/>
          <w:szCs w:val="20"/>
          <w:color w:val="auto"/>
        </w:rPr>
      </w:pPr>
    </w:p>
    <w:p>
      <w:pPr>
        <w:sectPr>
          <w:pgSz w:w="11900" w:h="16838" w:orient="portrait"/>
          <w:cols w:equalWidth="0" w:num="2">
            <w:col w:w="5320" w:space="620"/>
            <w:col w:w="5480"/>
          </w:cols>
          <w:pgMar w:left="240" w:top="141" w:right="2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76 </w:t>
      </w:r>
      <w:r>
        <w:rPr>
          <w:sz w:val="1"/>
          <w:szCs w:val="1"/>
          <w:color w:val="auto"/>
        </w:rPr>
        <w:drawing>
          <wp:inline distT="0" distB="0" distL="0" distR="0">
            <wp:extent cx="111760" cy="11176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80" w:name="page81"/>
    <w:bookmarkEnd w:id="80"/>
    <w:p>
      <w:pPr>
        <w:ind w:left="9300"/>
        <w:spacing w:after="0"/>
        <w:rPr>
          <w:sz w:val="20"/>
          <w:szCs w:val="20"/>
          <w:color w:val="auto"/>
        </w:rPr>
      </w:pPr>
      <w:r>
        <w:rPr>
          <w:rFonts w:ascii="Arial" w:cs="Arial" w:eastAsia="Arial" w:hAnsi="Arial"/>
          <w:sz w:val="16"/>
          <w:szCs w:val="16"/>
          <w:color w:val="auto"/>
        </w:rPr>
        <w:t xml:space="preserve">Allstate Life </w:t>
      </w:r>
      <w:r>
        <w:rPr>
          <w:rFonts w:ascii="Arial" w:cs="Arial" w:eastAsia="Arial" w:hAnsi="Arial"/>
          <w:sz w:val="16"/>
          <w:szCs w:val="16"/>
          <w:color w:val="005BA5"/>
        </w:rPr>
        <w:t>Segment Results</w:t>
      </w:r>
    </w:p>
    <w:p>
      <w:pPr>
        <w:sectPr>
          <w:pgSz w:w="11900" w:h="16838" w:orient="portrait"/>
          <w:cols w:equalWidth="0" w:num="1">
            <w:col w:w="11420"/>
          </w:cols>
          <w:pgMar w:left="240" w:top="141" w:right="239" w:bottom="1440" w:gutter="0" w:footer="0" w:header="0"/>
        </w:sectPr>
      </w:pPr>
    </w:p>
    <w:p>
      <w:pPr>
        <w:spacing w:after="0" w:line="35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contractholder funds (“investment spread”) and is used to analyze the impact of net investment income and interest credited to contractholder funds on net income. Investment spread increased 5.8% to $55 million in the first quarter of 2019 compared to $52 million in the first quarter of 2018, due to higher net investment income.</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6"/>
          <w:szCs w:val="16"/>
          <w:i w:val="1"/>
          <w:iCs w:val="1"/>
          <w:color w:val="1666AF"/>
        </w:rPr>
        <w:t xml:space="preserve">Amortization of DAC </w:t>
      </w:r>
      <w:r>
        <w:rPr>
          <w:rFonts w:ascii="Arial" w:cs="Arial" w:eastAsia="Arial" w:hAnsi="Arial"/>
          <w:sz w:val="16"/>
          <w:szCs w:val="16"/>
          <w:color w:val="000000"/>
        </w:rPr>
        <w:t>decreased 15.2% or $5 million in the first quarter</w:t>
      </w:r>
      <w:r>
        <w:rPr>
          <w:rFonts w:ascii="Arial" w:cs="Arial" w:eastAsia="Arial" w:hAnsi="Arial"/>
          <w:sz w:val="16"/>
          <w:szCs w:val="16"/>
          <w:i w:val="1"/>
          <w:iCs w:val="1"/>
          <w:color w:val="1666AF"/>
        </w:rPr>
        <w:t xml:space="preserve"> </w:t>
      </w:r>
      <w:r>
        <w:rPr>
          <w:rFonts w:ascii="Arial" w:cs="Arial" w:eastAsia="Arial" w:hAnsi="Arial"/>
          <w:sz w:val="16"/>
          <w:szCs w:val="16"/>
          <w:color w:val="000000"/>
        </w:rPr>
        <w:t>of 2019 compared to the first quarter of 2018, primarily due to lower gross profits on interest-sensitive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377825</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67" w:lineRule="exact"/>
        <w:rPr>
          <w:sz w:val="20"/>
          <w:szCs w:val="20"/>
          <w:color w:val="auto"/>
        </w:rPr>
      </w:pPr>
    </w:p>
    <w:p>
      <w:pPr>
        <w:sectPr>
          <w:pgSz w:w="11900" w:h="16838" w:orient="portrait"/>
          <w:cols w:equalWidth="0" w:num="2">
            <w:col w:w="5380" w:space="560"/>
            <w:col w:w="5480"/>
          </w:cols>
          <w:pgMar w:left="240" w:top="141" w:right="239" w:bottom="1440" w:gutter="0" w:footer="0" w:header="0"/>
          <w:type w:val="continuous"/>
        </w:sectPr>
      </w:pPr>
    </w:p>
    <w:p>
      <w:pPr>
        <w:spacing w:after="0" w:line="5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Components of amortization of 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DAC before amortization relating to realized capital gains and losses and changes in assumptions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Amortization relating to realized capital gains and losses </w:t>
            </w:r>
            <w:r>
              <w:rPr>
                <w:rFonts w:ascii="Arial" w:cs="Arial" w:eastAsia="Arial" w:hAnsi="Arial"/>
                <w:sz w:val="27"/>
                <w:szCs w:val="27"/>
                <w:color w:val="005BA5"/>
                <w:vertAlign w:val="superscript"/>
              </w:rPr>
              <w:t>(1)</w:t>
            </w:r>
          </w:p>
        </w:tc>
        <w:tc>
          <w:tcPr>
            <w:tcW w:w="12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6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c>
          <w:tcPr>
            <w:tcW w:w="320" w:type="dxa"/>
            <w:vAlign w:val="bottom"/>
            <w:tcBorders>
              <w:bottom w:val="single" w:sz="8" w:color="ACACAC"/>
            </w:tcBorders>
          </w:tcPr>
          <w:p>
            <w:pPr>
              <w:spacing w:after="0"/>
              <w:rPr>
                <w:sz w:val="21"/>
                <w:szCs w:val="21"/>
                <w:color w:val="auto"/>
              </w:rPr>
            </w:pPr>
          </w:p>
        </w:tc>
        <w:tc>
          <w:tcPr>
            <w:tcW w:w="104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2</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acceleration for changes in assumptions (‘‘DAC unlocking’’)</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amortization of DAC</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113" w:lineRule="exact"/>
        <w:rPr>
          <w:sz w:val="20"/>
          <w:szCs w:val="20"/>
          <w:color w:val="auto"/>
        </w:rPr>
      </w:pPr>
    </w:p>
    <w:p>
      <w:pPr>
        <w:ind w:left="280" w:right="40" w:hanging="191"/>
        <w:spacing w:after="0" w:line="188" w:lineRule="auto"/>
        <w:tabs>
          <w:tab w:leader="none" w:pos="280" w:val="left"/>
        </w:tabs>
        <w:numPr>
          <w:ilvl w:val="0"/>
          <w:numId w:val="77"/>
        </w:numPr>
        <w:rPr>
          <w:rFonts w:ascii="Arial" w:cs="Arial" w:eastAsia="Arial" w:hAnsi="Arial"/>
          <w:sz w:val="23"/>
          <w:szCs w:val="23"/>
          <w:color w:val="005BA5"/>
          <w:vertAlign w:val="superscript"/>
        </w:rPr>
      </w:pPr>
      <w:r>
        <w:rPr>
          <w:rFonts w:ascii="Arial" w:cs="Arial" w:eastAsia="Arial" w:hAnsi="Arial"/>
          <w:sz w:val="14"/>
          <w:szCs w:val="14"/>
          <w:color w:val="auto"/>
        </w:rPr>
        <w:t>The impact of realized capital gains and losses on amortization of DAC is dependent upon the relationship between the assets that give rise to the gain or loss and the product liability supported by the assets. Fluctuations result from changes in the impact of realized capital gains and losses on actual and expected gross profits.</w:t>
      </w:r>
    </w:p>
    <w:p>
      <w:pPr>
        <w:spacing w:after="0" w:line="80" w:lineRule="exact"/>
        <w:rPr>
          <w:sz w:val="20"/>
          <w:szCs w:val="20"/>
          <w:color w:val="auto"/>
        </w:rPr>
      </w:pPr>
    </w:p>
    <w:p>
      <w:pPr>
        <w:ind w:right="520" w:firstLine="324"/>
        <w:spacing w:after="0" w:line="281" w:lineRule="auto"/>
        <w:rPr>
          <w:sz w:val="20"/>
          <w:szCs w:val="20"/>
          <w:color w:val="auto"/>
        </w:rPr>
      </w:pPr>
      <w:r>
        <w:rPr>
          <w:rFonts w:ascii="Arial" w:cs="Arial" w:eastAsia="Arial" w:hAnsi="Arial"/>
          <w:sz w:val="16"/>
          <w:szCs w:val="16"/>
          <w:i w:val="1"/>
          <w:iCs w:val="1"/>
          <w:color w:val="1666AF"/>
        </w:rPr>
        <w:t xml:space="preserve">Operating costs and expenses </w:t>
      </w:r>
      <w:r>
        <w:rPr>
          <w:rFonts w:ascii="Arial" w:cs="Arial" w:eastAsia="Arial" w:hAnsi="Arial"/>
          <w:sz w:val="16"/>
          <w:szCs w:val="16"/>
          <w:color w:val="000000"/>
        </w:rPr>
        <w:t>increased 9.6% or $8 million in the first quarter of 2019 compared to the same period of 2018, primarily due to a loss</w:t>
      </w:r>
      <w:r>
        <w:rPr>
          <w:rFonts w:ascii="Arial" w:cs="Arial" w:eastAsia="Arial" w:hAnsi="Arial"/>
          <w:sz w:val="16"/>
          <w:szCs w:val="16"/>
          <w:i w:val="1"/>
          <w:iCs w:val="1"/>
          <w:color w:val="1666AF"/>
        </w:rPr>
        <w:t xml:space="preserve"> </w:t>
      </w:r>
      <w:r>
        <w:rPr>
          <w:rFonts w:ascii="Arial" w:cs="Arial" w:eastAsia="Arial" w:hAnsi="Arial"/>
          <w:sz w:val="16"/>
          <w:szCs w:val="16"/>
          <w:color w:val="000000"/>
        </w:rPr>
        <w:t>contingency expense related to reinsurance as well as higher marketing and employee-related costs.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Analysis of reserves and contractholder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Reserve for life-contingent contract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00" w:type="dxa"/>
            <w:vAlign w:val="bottom"/>
            <w:tcBorders>
              <w:bottom w:val="single" w:sz="8" w:color="005BA5"/>
            </w:tcBorders>
          </w:tcPr>
          <w:p>
            <w:pPr>
              <w:spacing w:after="0"/>
              <w:rPr>
                <w:sz w:val="20"/>
                <w:szCs w:val="20"/>
                <w:color w:val="auto"/>
              </w:rPr>
            </w:pPr>
          </w:p>
        </w:tc>
        <w:tc>
          <w:tcPr>
            <w:tcW w:w="1780" w:type="dxa"/>
            <w:vAlign w:val="bottom"/>
            <w:tcBorders>
              <w:bottom w:val="single" w:sz="8" w:color="005BA5"/>
            </w:tcBorders>
          </w:tcPr>
          <w:p>
            <w:pPr>
              <w:jc w:val="right"/>
              <w:ind w:right="41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Pr>
          <w:p>
            <w:pPr>
              <w:spacing w:after="0"/>
              <w:rPr>
                <w:sz w:val="20"/>
                <w:szCs w:val="20"/>
                <w:color w:val="auto"/>
              </w:rPr>
            </w:pPr>
          </w:p>
        </w:tc>
        <w:tc>
          <w:tcPr>
            <w:tcW w:w="240" w:type="dxa"/>
            <w:vAlign w:val="bottom"/>
            <w:tcBorders>
              <w:bottom w:val="single" w:sz="8" w:color="005BA5"/>
            </w:tcBorders>
          </w:tcPr>
          <w:p>
            <w:pPr>
              <w:spacing w:after="0"/>
              <w:rPr>
                <w:sz w:val="20"/>
                <w:szCs w:val="20"/>
                <w:color w:val="auto"/>
              </w:rPr>
            </w:pPr>
          </w:p>
        </w:tc>
        <w:tc>
          <w:tcPr>
            <w:tcW w:w="1800" w:type="dxa"/>
            <w:vAlign w:val="bottom"/>
            <w:tcBorders>
              <w:bottom w:val="single" w:sz="8" w:color="005BA5"/>
            </w:tcBorders>
          </w:tcPr>
          <w:p>
            <w:pPr>
              <w:jc w:val="right"/>
              <w:ind w:right="279"/>
              <w:spacing w:after="0"/>
              <w:rPr>
                <w:sz w:val="20"/>
                <w:szCs w:val="20"/>
                <w:color w:val="auto"/>
              </w:rPr>
            </w:pPr>
            <w:r>
              <w:rPr>
                <w:rFonts w:ascii="Arial" w:cs="Arial" w:eastAsia="Arial" w:hAnsi="Arial"/>
                <w:sz w:val="16"/>
                <w:szCs w:val="16"/>
                <w:b w:val="1"/>
                <w:bCs w:val="1"/>
                <w:color w:val="auto"/>
                <w:w w:val="98"/>
              </w:rPr>
              <w:t>December 31, 2018</w:t>
            </w:r>
          </w:p>
        </w:tc>
      </w:tr>
      <w:tr>
        <w:trPr>
          <w:trHeight w:val="223"/>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Traditional life insurance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2,539</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Accident and health insurance</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138</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Reserve for life-contingent contract benefits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b w:val="1"/>
                <w:bCs w:val="1"/>
                <w:color w:val="auto"/>
              </w:rPr>
              <w:t>2,698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2,677</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bl>
    <w:p>
      <w:pPr>
        <w:spacing w:after="0" w:line="94" w:lineRule="exact"/>
        <w:rPr>
          <w:sz w:val="20"/>
          <w:szCs w:val="20"/>
          <w:color w:val="auto"/>
        </w:rPr>
      </w:pPr>
    </w:p>
    <w:p>
      <w:pPr>
        <w:ind w:right="440" w:firstLine="324"/>
        <w:spacing w:after="0" w:line="264" w:lineRule="auto"/>
        <w:rPr>
          <w:sz w:val="20"/>
          <w:szCs w:val="20"/>
          <w:color w:val="auto"/>
        </w:rPr>
      </w:pPr>
      <w:r>
        <w:rPr>
          <w:rFonts w:ascii="Arial" w:cs="Arial" w:eastAsia="Arial" w:hAnsi="Arial"/>
          <w:sz w:val="16"/>
          <w:szCs w:val="16"/>
          <w:i w:val="1"/>
          <w:iCs w:val="1"/>
          <w:color w:val="1666AF"/>
        </w:rPr>
        <w:t xml:space="preserve">Contractholder funds </w:t>
      </w:r>
      <w:r>
        <w:rPr>
          <w:rFonts w:ascii="Arial" w:cs="Arial" w:eastAsia="Arial" w:hAnsi="Arial"/>
          <w:sz w:val="16"/>
          <w:szCs w:val="16"/>
          <w:color w:val="000000"/>
        </w:rPr>
        <w:t>represent interest-bearing liabilities arising from the sale of products such as interest-sensitive life insurance. The balance of</w:t>
      </w:r>
      <w:r>
        <w:rPr>
          <w:rFonts w:ascii="Arial" w:cs="Arial" w:eastAsia="Arial" w:hAnsi="Arial"/>
          <w:sz w:val="16"/>
          <w:szCs w:val="16"/>
          <w:i w:val="1"/>
          <w:iCs w:val="1"/>
          <w:color w:val="1666AF"/>
        </w:rPr>
        <w:t xml:space="preserve"> </w:t>
      </w:r>
      <w:r>
        <w:rPr>
          <w:rFonts w:ascii="Arial" w:cs="Arial" w:eastAsia="Arial" w:hAnsi="Arial"/>
          <w:sz w:val="16"/>
          <w:szCs w:val="16"/>
          <w:color w:val="000000"/>
        </w:rPr>
        <w:t>contractholder funds is equal to the cumulative deposits received and interest credited to the contractholder less cumulative contract benefits, surrenders, withdrawals and contract charges for mortality or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 in contractholder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Contractholder funds, beginning balance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7,656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7,608</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Deposits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240</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Interest credited</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Benefits, withdrawals and other adjustments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7"/>
        </w:trPr>
        <w:tc>
          <w:tcPr>
            <w:tcW w:w="846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CACAC"/>
            </w:tcBorders>
          </w:tcPr>
          <w:p>
            <w:pPr>
              <w:spacing w:after="0"/>
              <w:rPr>
                <w:sz w:val="4"/>
                <w:szCs w:val="4"/>
                <w:color w:val="auto"/>
              </w:rPr>
            </w:pPr>
          </w:p>
        </w:tc>
        <w:tc>
          <w:tcPr>
            <w:tcW w:w="106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CACAC"/>
            </w:tcBorders>
          </w:tcPr>
          <w:p>
            <w:pPr>
              <w:spacing w:after="0"/>
              <w:rPr>
                <w:sz w:val="4"/>
                <w:szCs w:val="4"/>
                <w:color w:val="auto"/>
              </w:rPr>
            </w:pPr>
          </w:p>
        </w:tc>
        <w:tc>
          <w:tcPr>
            <w:tcW w:w="1040" w:type="dxa"/>
            <w:vAlign w:val="bottom"/>
            <w:tcBorders>
              <w:bottom w:val="single" w:sz="8" w:color="ACACAC"/>
            </w:tcBorders>
          </w:tcPr>
          <w:p>
            <w:pPr>
              <w:spacing w:after="0"/>
              <w:rPr>
                <w:sz w:val="4"/>
                <w:szCs w:val="4"/>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Benefits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Surrenders and partial withdrawals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Contract charges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transfers from separate accounts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005BA5"/>
            </w:tcBorders>
          </w:tcPr>
          <w:p>
            <w:pPr>
              <w:ind w:left="40"/>
              <w:spacing w:after="0" w:line="250"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7"/>
                <w:szCs w:val="27"/>
                <w:color w:val="005BA5"/>
                <w:vertAlign w:val="superscript"/>
              </w:rPr>
              <w:t>(1)</w:t>
            </w:r>
          </w:p>
        </w:tc>
        <w:tc>
          <w:tcPr>
            <w:tcW w:w="12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4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Total benefits, withdrawals and other adjustments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Contractholder funds, ending balance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7,686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7,603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p>
      <w:pPr>
        <w:ind w:left="280" w:right="520" w:hanging="191"/>
        <w:spacing w:after="0" w:line="211" w:lineRule="auto"/>
        <w:tabs>
          <w:tab w:leader="none" w:pos="280" w:val="left"/>
        </w:tabs>
        <w:numPr>
          <w:ilvl w:val="0"/>
          <w:numId w:val="78"/>
        </w:numPr>
        <w:rPr>
          <w:rFonts w:ascii="Arial" w:cs="Arial" w:eastAsia="Arial" w:hAnsi="Arial"/>
          <w:sz w:val="23"/>
          <w:szCs w:val="23"/>
          <w:color w:val="005BA5"/>
          <w:vertAlign w:val="superscript"/>
        </w:rPr>
      </w:pPr>
      <w:r>
        <w:rPr>
          <w:rFonts w:ascii="Arial" w:cs="Arial" w:eastAsia="Arial" w:hAnsi="Arial"/>
          <w:sz w:val="14"/>
          <w:szCs w:val="14"/>
          <w:color w:val="auto"/>
        </w:rPr>
        <w:t>The table above illustrates the changes in contractholder funds, which are presented gross of reinsurance recoverables on the Condensed Consolidated Statements of Financial Position. The table above is intended to supplement our discussion and analysis of revenues, which are presented net of reinsurance on the Condensed Consolidated Statements of Operations. As a result, the net change in contractholder funds associated with products reinsured is reflected as a component of the other adjustments line.</w:t>
      </w:r>
    </w:p>
    <w:p>
      <w:pPr>
        <w:spacing w:after="0" w:line="2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77</w:t>
      </w:r>
    </w:p>
    <w:p>
      <w:pPr>
        <w:sectPr>
          <w:pgSz w:w="11900" w:h="16838" w:orient="portrait"/>
          <w:cols w:equalWidth="0" w:num="1">
            <w:col w:w="11420"/>
          </w:cols>
          <w:pgMar w:left="240" w:top="141" w:right="2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6"/>
          <w:szCs w:val="16"/>
          <w:color w:val="auto"/>
        </w:rPr>
        <w:t xml:space="preserve">Segment Results </w:t>
      </w:r>
      <w:r>
        <w:rPr>
          <w:rFonts w:ascii="Arial" w:cs="Arial" w:eastAsia="Arial" w:hAnsi="Arial"/>
          <w:sz w:val="16"/>
          <w:szCs w:val="16"/>
          <w:color w:val="005BA5"/>
        </w:rPr>
        <w:t>Allstate Benefits</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Allstate Benefits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909320</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85725</wp:posOffset>
            </wp:positionV>
            <wp:extent cx="875030" cy="7372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7503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Summarized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040" w:type="dxa"/>
            <w:vAlign w:val="bottom"/>
            <w:tcBorders>
              <w:bottom w:val="single" w:sz="8" w:color="005BA5"/>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223"/>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Premiums and contract charges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286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303</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Contract benefits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Interest credited to contractholder funds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DAC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(268)</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005BA5"/>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005BA5"/>
            </w:tcBorders>
          </w:tcPr>
          <w:p>
            <w:pPr>
              <w:spacing w:after="0"/>
              <w:rPr>
                <w:sz w:val="13"/>
                <w:szCs w:val="13"/>
                <w:color w:val="auto"/>
              </w:rPr>
            </w:pPr>
          </w:p>
        </w:tc>
        <w:tc>
          <w:tcPr>
            <w:tcW w:w="1060" w:type="dxa"/>
            <w:vAlign w:val="bottom"/>
            <w:tcBorders>
              <w:top w:val="single" w:sz="8" w:color="005BA5"/>
              <w:bottom w:val="single" w:sz="8" w:color="005BA5"/>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005BA5"/>
            </w:tcBorders>
          </w:tcPr>
          <w:p>
            <w:pPr>
              <w:spacing w:after="0"/>
              <w:rPr>
                <w:sz w:val="13"/>
                <w:szCs w:val="13"/>
                <w:color w:val="auto"/>
              </w:rPr>
            </w:pPr>
          </w:p>
        </w:tc>
        <w:tc>
          <w:tcPr>
            <w:tcW w:w="1040" w:type="dxa"/>
            <w:vAlign w:val="bottom"/>
            <w:tcBorders>
              <w:top w:val="single" w:sz="8" w:color="005BA5"/>
              <w:bottom w:val="single" w:sz="8" w:color="005BA5"/>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50"/>
        </w:trPr>
        <w:tc>
          <w:tcPr>
            <w:tcW w:w="8580" w:type="dxa"/>
            <w:vAlign w:val="bottom"/>
            <w:gridSpan w:val="2"/>
          </w:tcPr>
          <w:p>
            <w:pPr>
              <w:ind w:left="40"/>
              <w:spacing w:after="0" w:line="250" w:lineRule="exact"/>
              <w:rPr>
                <w:sz w:val="20"/>
                <w:szCs w:val="20"/>
                <w:color w:val="auto"/>
              </w:rPr>
            </w:pPr>
            <w:r>
              <w:rPr>
                <w:rFonts w:ascii="Arial" w:cs="Arial" w:eastAsia="Arial" w:hAnsi="Arial"/>
                <w:sz w:val="16"/>
                <w:szCs w:val="16"/>
                <w:color w:val="auto"/>
              </w:rPr>
              <w:t xml:space="preserve">Benefit ratio </w:t>
            </w:r>
            <w:r>
              <w:rPr>
                <w:rFonts w:ascii="Arial" w:cs="Arial" w:eastAsia="Arial" w:hAnsi="Arial"/>
                <w:sz w:val="27"/>
                <w:szCs w:val="27"/>
                <w:color w:val="005BA5"/>
                <w:vertAlign w:val="superscript"/>
              </w:rPr>
              <w:t>(1)</w:t>
            </w:r>
          </w:p>
        </w:tc>
        <w:tc>
          <w:tcPr>
            <w:tcW w:w="32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52.1</w:t>
            </w: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50"/>
        </w:trPr>
        <w:tc>
          <w:tcPr>
            <w:tcW w:w="8580" w:type="dxa"/>
            <w:vAlign w:val="bottom"/>
            <w:gridSpan w:val="2"/>
          </w:tcPr>
          <w:p>
            <w:pPr>
              <w:ind w:left="40"/>
              <w:spacing w:after="0" w:line="250" w:lineRule="exact"/>
              <w:rPr>
                <w:sz w:val="20"/>
                <w:szCs w:val="20"/>
                <w:color w:val="auto"/>
              </w:rPr>
            </w:pPr>
            <w:r>
              <w:rPr>
                <w:rFonts w:ascii="Arial" w:cs="Arial" w:eastAsia="Arial" w:hAnsi="Arial"/>
                <w:sz w:val="16"/>
                <w:szCs w:val="16"/>
                <w:color w:val="auto"/>
              </w:rPr>
              <w:t xml:space="preserve">Operating expense ratio </w:t>
            </w:r>
            <w:r>
              <w:rPr>
                <w:rFonts w:ascii="Arial" w:cs="Arial" w:eastAsia="Arial" w:hAnsi="Arial"/>
                <w:sz w:val="27"/>
                <w:szCs w:val="27"/>
                <w:color w:val="005BA5"/>
                <w:vertAlign w:val="superscript"/>
              </w:rPr>
              <w:t>(2)</w:t>
            </w:r>
          </w:p>
        </w:tc>
        <w:tc>
          <w:tcPr>
            <w:tcW w:w="32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24.5</w:t>
            </w: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Reserve for life-contingent contract benefits as of March 31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989</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Contractholder funds as of March 31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893</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Policies in force as of March 31 (in thousands)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4,260</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1" w:lineRule="exact"/>
        <w:rPr>
          <w:sz w:val="20"/>
          <w:szCs w:val="20"/>
          <w:color w:val="auto"/>
        </w:rPr>
      </w:pPr>
    </w:p>
    <w:p>
      <w:pPr>
        <w:ind w:left="280" w:hanging="191"/>
        <w:spacing w:after="0"/>
        <w:tabs>
          <w:tab w:leader="none" w:pos="280" w:val="left"/>
        </w:tabs>
        <w:numPr>
          <w:ilvl w:val="0"/>
          <w:numId w:val="79"/>
        </w:numPr>
        <w:rPr>
          <w:rFonts w:ascii="Arial" w:cs="Arial" w:eastAsia="Arial" w:hAnsi="Arial"/>
          <w:sz w:val="23"/>
          <w:szCs w:val="23"/>
          <w:color w:val="005BA5"/>
          <w:vertAlign w:val="superscript"/>
        </w:rPr>
      </w:pPr>
      <w:r>
        <w:rPr>
          <w:rFonts w:ascii="Arial" w:cs="Arial" w:eastAsia="Arial" w:hAnsi="Arial"/>
          <w:sz w:val="14"/>
          <w:szCs w:val="14"/>
          <w:color w:val="auto"/>
        </w:rPr>
        <w:t>Benefit ratio is calculated as contract benefits divided by premiums and contract charges.</w:t>
      </w:r>
    </w:p>
    <w:p>
      <w:pPr>
        <w:spacing w:after="0" w:line="97" w:lineRule="exact"/>
        <w:rPr>
          <w:rFonts w:ascii="Arial" w:cs="Arial" w:eastAsia="Arial" w:hAnsi="Arial"/>
          <w:sz w:val="23"/>
          <w:szCs w:val="23"/>
          <w:color w:val="005BA5"/>
          <w:vertAlign w:val="superscript"/>
        </w:rPr>
      </w:pPr>
    </w:p>
    <w:p>
      <w:pPr>
        <w:ind w:left="280" w:hanging="191"/>
        <w:spacing w:after="0" w:line="199" w:lineRule="auto"/>
        <w:tabs>
          <w:tab w:leader="none" w:pos="280" w:val="left"/>
        </w:tabs>
        <w:numPr>
          <w:ilvl w:val="0"/>
          <w:numId w:val="79"/>
        </w:numPr>
        <w:rPr>
          <w:rFonts w:ascii="Arial" w:cs="Arial" w:eastAsia="Arial" w:hAnsi="Arial"/>
          <w:sz w:val="18"/>
          <w:szCs w:val="18"/>
          <w:color w:val="005BA5"/>
          <w:vertAlign w:val="superscript"/>
        </w:rPr>
      </w:pPr>
      <w:r>
        <w:rPr>
          <w:rFonts w:ascii="Arial" w:cs="Arial" w:eastAsia="Arial" w:hAnsi="Arial"/>
          <w:sz w:val="12"/>
          <w:szCs w:val="12"/>
          <w:color w:val="auto"/>
        </w:rPr>
        <w:t>Operating expense ratio is calculated as operating costs and expenses divided by premiums and contract charges.</w:t>
      </w:r>
    </w:p>
    <w:p>
      <w:pPr>
        <w:sectPr>
          <w:pgSz w:w="11900" w:h="16838" w:orient="portrait"/>
          <w:cols w:equalWidth="0" w:num="1">
            <w:col w:w="11420"/>
          </w:cols>
          <w:pgMar w:left="240" w:top="141" w:right="239" w:bottom="1003" w:gutter="0" w:footer="0" w:header="0"/>
        </w:sectPr>
      </w:pPr>
    </w:p>
    <w:p>
      <w:pPr>
        <w:spacing w:after="0" w:line="96" w:lineRule="exact"/>
        <w:rPr>
          <w:sz w:val="20"/>
          <w:szCs w:val="20"/>
          <w:color w:val="auto"/>
        </w:rPr>
      </w:pPr>
    </w:p>
    <w:p>
      <w:pPr>
        <w:ind w:right="100" w:firstLine="324"/>
        <w:spacing w:after="0" w:line="260" w:lineRule="auto"/>
        <w:rPr>
          <w:sz w:val="20"/>
          <w:szCs w:val="20"/>
          <w:color w:val="auto"/>
        </w:rPr>
      </w:pPr>
      <w:r>
        <w:rPr>
          <w:rFonts w:ascii="Arial" w:cs="Arial" w:eastAsia="Arial" w:hAnsi="Arial"/>
          <w:sz w:val="16"/>
          <w:szCs w:val="16"/>
          <w:i w:val="1"/>
          <w:iCs w:val="1"/>
          <w:color w:val="1666AF"/>
        </w:rPr>
        <w:t xml:space="preserve">Net income applicable to common shareholders </w:t>
      </w:r>
      <w:r>
        <w:rPr>
          <w:rFonts w:ascii="Arial" w:cs="Arial" w:eastAsia="Arial" w:hAnsi="Arial"/>
          <w:sz w:val="16"/>
          <w:szCs w:val="16"/>
          <w:color w:val="000000"/>
        </w:rPr>
        <w:t>was $34 million in the</w:t>
      </w:r>
      <w:r>
        <w:rPr>
          <w:rFonts w:ascii="Arial" w:cs="Arial" w:eastAsia="Arial" w:hAnsi="Arial"/>
          <w:sz w:val="16"/>
          <w:szCs w:val="16"/>
          <w:i w:val="1"/>
          <w:iCs w:val="1"/>
          <w:color w:val="1666AF"/>
        </w:rPr>
        <w:t xml:space="preserve"> </w:t>
      </w:r>
      <w:r>
        <w:rPr>
          <w:rFonts w:ascii="Arial" w:cs="Arial" w:eastAsia="Arial" w:hAnsi="Arial"/>
          <w:sz w:val="16"/>
          <w:szCs w:val="16"/>
          <w:color w:val="000000"/>
        </w:rPr>
        <w:t>first quarter of 2019 compared to $27 million in the first quarter of 2018.</w:t>
      </w:r>
    </w:p>
    <w:p>
      <w:pPr>
        <w:spacing w:after="0" w:line="72"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i w:val="1"/>
          <w:iCs w:val="1"/>
          <w:color w:val="1666AF"/>
        </w:rPr>
        <w:t xml:space="preserve">Adjusted net income </w:t>
      </w:r>
      <w:r>
        <w:rPr>
          <w:rFonts w:ascii="Arial" w:cs="Arial" w:eastAsia="Arial" w:hAnsi="Arial"/>
          <w:sz w:val="16"/>
          <w:szCs w:val="16"/>
          <w:color w:val="000000"/>
        </w:rPr>
        <w:t>increased to $31 million in the first quarter of 2019</w:t>
      </w:r>
      <w:r>
        <w:rPr>
          <w:rFonts w:ascii="Arial" w:cs="Arial" w:eastAsia="Arial" w:hAnsi="Arial"/>
          <w:sz w:val="16"/>
          <w:szCs w:val="16"/>
          <w:i w:val="1"/>
          <w:iCs w:val="1"/>
          <w:color w:val="1666AF"/>
        </w:rPr>
        <w:t xml:space="preserve"> </w:t>
      </w:r>
      <w:r>
        <w:rPr>
          <w:rFonts w:ascii="Arial" w:cs="Arial" w:eastAsia="Arial" w:hAnsi="Arial"/>
          <w:sz w:val="16"/>
          <w:szCs w:val="16"/>
          <w:color w:val="000000"/>
        </w:rPr>
        <w:t>compared to $29 million in the first</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quarter of 2018, primarily due to lower contract benefits, partially offset by higher amortization of DAC.</w:t>
      </w:r>
    </w:p>
    <w:p>
      <w:pPr>
        <w:spacing w:after="0" w:line="72" w:lineRule="exact"/>
        <w:rPr>
          <w:sz w:val="20"/>
          <w:szCs w:val="20"/>
          <w:color w:val="auto"/>
        </w:rPr>
      </w:pPr>
    </w:p>
    <w:p>
      <w:pPr>
        <w:ind w:right="40" w:firstLine="324"/>
        <w:spacing w:after="0" w:line="281" w:lineRule="auto"/>
        <w:rPr>
          <w:sz w:val="20"/>
          <w:szCs w:val="20"/>
          <w:color w:val="auto"/>
        </w:rPr>
      </w:pPr>
      <w:r>
        <w:rPr>
          <w:rFonts w:ascii="Arial" w:cs="Arial" w:eastAsia="Arial" w:hAnsi="Arial"/>
          <w:sz w:val="16"/>
          <w:szCs w:val="16"/>
          <w:i w:val="1"/>
          <w:iCs w:val="1"/>
          <w:color w:val="1666AF"/>
        </w:rPr>
        <w:t xml:space="preserve">Premiums and contract charges </w:t>
      </w:r>
      <w:r>
        <w:rPr>
          <w:rFonts w:ascii="Arial" w:cs="Arial" w:eastAsia="Arial" w:hAnsi="Arial"/>
          <w:sz w:val="16"/>
          <w:szCs w:val="16"/>
          <w:color w:val="000000"/>
        </w:rPr>
        <w:t>increased 0.7% or $2 million in the first</w:t>
      </w:r>
      <w:r>
        <w:rPr>
          <w:rFonts w:ascii="Arial" w:cs="Arial" w:eastAsia="Arial" w:hAnsi="Arial"/>
          <w:sz w:val="16"/>
          <w:szCs w:val="16"/>
          <w:i w:val="1"/>
          <w:iCs w:val="1"/>
          <w:color w:val="1666AF"/>
        </w:rPr>
        <w:t xml:space="preserve"> </w:t>
      </w:r>
      <w:r>
        <w:rPr>
          <w:rFonts w:ascii="Arial" w:cs="Arial" w:eastAsia="Arial" w:hAnsi="Arial"/>
          <w:sz w:val="16"/>
          <w:szCs w:val="16"/>
          <w:color w:val="000000"/>
        </w:rPr>
        <w:t>quarter of 2019 compared to the first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130175</wp:posOffset>
            </wp:positionV>
            <wp:extent cx="72466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40" w:space="500"/>
            <w:col w:w="5480"/>
          </w:cols>
          <w:pgMar w:left="240" w:top="141" w:right="239" w:bottom="1003" w:gutter="0" w:footer="0" w:header="0"/>
          <w:type w:val="continuous"/>
        </w:sectPr>
      </w:pP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Premiums and contract charges by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Life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Accident</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Critical illness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Short-term disability</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 health</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Premiums and contract charges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288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286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003"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78 </w:t>
      </w:r>
      <w:r>
        <w:rPr>
          <w:sz w:val="1"/>
          <w:szCs w:val="1"/>
          <w:color w:val="auto"/>
        </w:rPr>
        <w:drawing>
          <wp:inline distT="0" distB="0" distL="0" distR="0">
            <wp:extent cx="111760" cy="111760"/>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003" w:gutter="0" w:footer="0" w:header="0"/>
          <w:type w:val="continuous"/>
        </w:sectPr>
      </w:pPr>
    </w:p>
    <w:bookmarkStart w:id="82" w:name="page83"/>
    <w:bookmarkEnd w:id="82"/>
    <w:p>
      <w:pPr>
        <w:ind w:left="8980"/>
        <w:spacing w:after="0"/>
        <w:rPr>
          <w:sz w:val="20"/>
          <w:szCs w:val="20"/>
          <w:color w:val="auto"/>
        </w:rPr>
      </w:pPr>
      <w:r>
        <w:rPr>
          <w:rFonts w:ascii="Arial" w:cs="Arial" w:eastAsia="Arial" w:hAnsi="Arial"/>
          <w:sz w:val="16"/>
          <w:szCs w:val="16"/>
          <w:color w:val="auto"/>
        </w:rPr>
        <w:t xml:space="preserve">Allstate Benefits </w:t>
      </w:r>
      <w:r>
        <w:rPr>
          <w:rFonts w:ascii="Arial" w:cs="Arial" w:eastAsia="Arial" w:hAnsi="Arial"/>
          <w:sz w:val="16"/>
          <w:szCs w:val="16"/>
          <w:color w:val="005BA5"/>
        </w:rPr>
        <w:t>Segment Results</w:t>
      </w:r>
    </w:p>
    <w:p>
      <w:pPr>
        <w:spacing w:after="0" w:line="340" w:lineRule="exact"/>
        <w:rPr>
          <w:sz w:val="20"/>
          <w:szCs w:val="20"/>
          <w:color w:val="auto"/>
        </w:rPr>
      </w:pPr>
    </w:p>
    <w:p>
      <w:pPr>
        <w:ind w:right="600" w:firstLine="324"/>
        <w:spacing w:after="0" w:line="281" w:lineRule="auto"/>
        <w:rPr>
          <w:sz w:val="20"/>
          <w:szCs w:val="20"/>
          <w:color w:val="auto"/>
        </w:rPr>
      </w:pPr>
      <w:r>
        <w:rPr>
          <w:rFonts w:ascii="Arial" w:cs="Arial" w:eastAsia="Arial" w:hAnsi="Arial"/>
          <w:sz w:val="16"/>
          <w:szCs w:val="16"/>
          <w:i w:val="1"/>
          <w:iCs w:val="1"/>
          <w:color w:val="1666AF"/>
        </w:rPr>
        <w:t xml:space="preserve">Contract benefits </w:t>
      </w:r>
      <w:r>
        <w:rPr>
          <w:rFonts w:ascii="Arial" w:cs="Arial" w:eastAsia="Arial" w:hAnsi="Arial"/>
          <w:sz w:val="16"/>
          <w:szCs w:val="16"/>
          <w:color w:val="000000"/>
        </w:rPr>
        <w:t>decreased 2.7% or $4 million in the first quarter of 2019 compared to the first quarter of 2018, primarily due to favorable mortality</w:t>
      </w:r>
      <w:r>
        <w:rPr>
          <w:rFonts w:ascii="Arial" w:cs="Arial" w:eastAsia="Arial" w:hAnsi="Arial"/>
          <w:sz w:val="16"/>
          <w:szCs w:val="16"/>
          <w:i w:val="1"/>
          <w:iCs w:val="1"/>
          <w:color w:val="1666AF"/>
        </w:rPr>
        <w:t xml:space="preserve"> </w:t>
      </w:r>
      <w:r>
        <w:rPr>
          <w:rFonts w:ascii="Arial" w:cs="Arial" w:eastAsia="Arial" w:hAnsi="Arial"/>
          <w:sz w:val="16"/>
          <w:szCs w:val="16"/>
          <w:color w:val="000000"/>
        </w:rPr>
        <w:t>experience in life products.</w:t>
      </w:r>
    </w:p>
    <w:p>
      <w:pPr>
        <w:spacing w:after="0" w:line="55" w:lineRule="exact"/>
        <w:rPr>
          <w:sz w:val="20"/>
          <w:szCs w:val="20"/>
          <w:color w:val="auto"/>
        </w:rPr>
      </w:pPr>
    </w:p>
    <w:p>
      <w:pPr>
        <w:ind w:right="220" w:firstLine="324"/>
        <w:spacing w:after="0" w:line="281" w:lineRule="auto"/>
        <w:rPr>
          <w:sz w:val="20"/>
          <w:szCs w:val="20"/>
          <w:color w:val="auto"/>
        </w:rPr>
      </w:pPr>
      <w:r>
        <w:rPr>
          <w:rFonts w:ascii="Arial" w:cs="Arial" w:eastAsia="Arial" w:hAnsi="Arial"/>
          <w:sz w:val="16"/>
          <w:szCs w:val="16"/>
          <w:i w:val="1"/>
          <w:iCs w:val="1"/>
          <w:color w:val="1666AF"/>
        </w:rPr>
        <w:t xml:space="preserve">Benefit ratio </w:t>
      </w:r>
      <w:r>
        <w:rPr>
          <w:rFonts w:ascii="Arial" w:cs="Arial" w:eastAsia="Arial" w:hAnsi="Arial"/>
          <w:sz w:val="16"/>
          <w:szCs w:val="16"/>
          <w:color w:val="000000"/>
        </w:rPr>
        <w:t>decreased to 50.3 in the first quarter of 2019 compared to 52.1 in the first quarter of 2018, primarily due to favorable mortality experience in</w:t>
      </w:r>
      <w:r>
        <w:rPr>
          <w:rFonts w:ascii="Arial" w:cs="Arial" w:eastAsia="Arial" w:hAnsi="Arial"/>
          <w:sz w:val="16"/>
          <w:szCs w:val="16"/>
          <w:i w:val="1"/>
          <w:iCs w:val="1"/>
          <w:color w:val="1666AF"/>
        </w:rPr>
        <w:t xml:space="preserve"> </w:t>
      </w:r>
      <w:r>
        <w:rPr>
          <w:rFonts w:ascii="Arial" w:cs="Arial" w:eastAsia="Arial" w:hAnsi="Arial"/>
          <w:sz w:val="16"/>
          <w:szCs w:val="16"/>
          <w:color w:val="000000"/>
        </w:rPr>
        <w:t>life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Non-deferrable commissions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operating costs and expenses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70</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1666AF"/>
        </w:rPr>
        <w:t xml:space="preserve">Operating costs and expenses </w:t>
      </w:r>
      <w:r>
        <w:rPr>
          <w:rFonts w:ascii="Arial" w:cs="Arial" w:eastAsia="Arial" w:hAnsi="Arial"/>
          <w:sz w:val="16"/>
          <w:szCs w:val="16"/>
          <w:color w:val="000000"/>
        </w:rPr>
        <w:t>increased 1.4% or $1 million in the first quarter of 2019 compared to the same period of 2018.</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Analysis of reserves and contractholder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Reserve for life-contingent contract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00" w:type="dxa"/>
            <w:vAlign w:val="bottom"/>
            <w:tcBorders>
              <w:bottom w:val="single" w:sz="8" w:color="005BA5"/>
            </w:tcBorders>
          </w:tcPr>
          <w:p>
            <w:pPr>
              <w:spacing w:after="0"/>
              <w:rPr>
                <w:sz w:val="20"/>
                <w:szCs w:val="20"/>
                <w:color w:val="auto"/>
              </w:rPr>
            </w:pPr>
          </w:p>
        </w:tc>
        <w:tc>
          <w:tcPr>
            <w:tcW w:w="1780" w:type="dxa"/>
            <w:vAlign w:val="bottom"/>
            <w:tcBorders>
              <w:bottom w:val="single" w:sz="8" w:color="005BA5"/>
            </w:tcBorders>
          </w:tcPr>
          <w:p>
            <w:pPr>
              <w:jc w:val="right"/>
              <w:ind w:right="41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Pr>
          <w:p>
            <w:pPr>
              <w:spacing w:after="0"/>
              <w:rPr>
                <w:sz w:val="20"/>
                <w:szCs w:val="20"/>
                <w:color w:val="auto"/>
              </w:rPr>
            </w:pPr>
          </w:p>
        </w:tc>
        <w:tc>
          <w:tcPr>
            <w:tcW w:w="240" w:type="dxa"/>
            <w:vAlign w:val="bottom"/>
            <w:tcBorders>
              <w:bottom w:val="single" w:sz="8" w:color="005BA5"/>
            </w:tcBorders>
          </w:tcPr>
          <w:p>
            <w:pPr>
              <w:spacing w:after="0"/>
              <w:rPr>
                <w:sz w:val="20"/>
                <w:szCs w:val="20"/>
                <w:color w:val="auto"/>
              </w:rPr>
            </w:pPr>
          </w:p>
        </w:tc>
        <w:tc>
          <w:tcPr>
            <w:tcW w:w="1800" w:type="dxa"/>
            <w:vAlign w:val="bottom"/>
            <w:tcBorders>
              <w:bottom w:val="single" w:sz="8" w:color="005BA5"/>
            </w:tcBorders>
          </w:tcPr>
          <w:p>
            <w:pPr>
              <w:jc w:val="right"/>
              <w:ind w:right="279"/>
              <w:spacing w:after="0"/>
              <w:rPr>
                <w:sz w:val="20"/>
                <w:szCs w:val="20"/>
                <w:color w:val="auto"/>
              </w:rPr>
            </w:pPr>
            <w:r>
              <w:rPr>
                <w:rFonts w:ascii="Arial" w:cs="Arial" w:eastAsia="Arial" w:hAnsi="Arial"/>
                <w:sz w:val="16"/>
                <w:szCs w:val="16"/>
                <w:b w:val="1"/>
                <w:bCs w:val="1"/>
                <w:color w:val="auto"/>
                <w:w w:val="98"/>
              </w:rPr>
              <w:t>December 31, 2018</w:t>
            </w:r>
          </w:p>
        </w:tc>
      </w:tr>
      <w:tr>
        <w:trPr>
          <w:trHeight w:val="223"/>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Traditional life insurance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269</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Accident and health insurance</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738</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Reserve for life-contingent contract benefits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b w:val="1"/>
                <w:bCs w:val="1"/>
                <w:color w:val="auto"/>
              </w:rPr>
              <w:t>1,005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1,007</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bl>
    <w:p>
      <w:pPr>
        <w:spacing w:after="0" w:line="3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79</w:t>
      </w:r>
    </w:p>
    <w:p>
      <w:pPr>
        <w:sectPr>
          <w:pgSz w:w="11900" w:h="16838" w:orient="portrait"/>
          <w:cols w:equalWidth="0" w:num="1">
            <w:col w:w="11420"/>
          </w:cols>
          <w:pgMar w:left="240" w:top="141" w:right="239" w:bottom="1440" w:gutter="0" w:footer="0" w:header="0"/>
        </w:sectPr>
      </w:pPr>
    </w:p>
    <w:bookmarkStart w:id="83" w:name="page84"/>
    <w:bookmarkEnd w:id="83"/>
    <w:p>
      <w:pPr>
        <w:spacing w:after="0"/>
        <w:rPr>
          <w:sz w:val="20"/>
          <w:szCs w:val="20"/>
          <w:color w:val="auto"/>
        </w:rPr>
      </w:pPr>
      <w:r>
        <w:rPr>
          <w:rFonts w:ascii="Arial" w:cs="Arial" w:eastAsia="Arial" w:hAnsi="Arial"/>
          <w:sz w:val="16"/>
          <w:szCs w:val="16"/>
          <w:color w:val="005BA5"/>
        </w:rPr>
        <w:t xml:space="preserve">Segment Results </w:t>
      </w:r>
      <w:r>
        <w:rPr>
          <w:rFonts w:ascii="Arial" w:cs="Arial" w:eastAsia="Arial" w:hAnsi="Arial"/>
          <w:sz w:val="16"/>
          <w:szCs w:val="16"/>
          <w:color w:val="000000"/>
        </w:rPr>
        <w:t>Allstate Annuities</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Allstate Annuities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Summarized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Contract charges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revenues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349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264</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Contract benefits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Interest credited to contractholder funds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Amortization of DAC</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Operating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costs and expenses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(243)</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Gain on disposition of operations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97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005BA5"/>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005BA5"/>
            </w:tcBorders>
          </w:tcPr>
          <w:p>
            <w:pPr>
              <w:spacing w:after="0"/>
              <w:rPr>
                <w:sz w:val="13"/>
                <w:szCs w:val="13"/>
                <w:color w:val="auto"/>
              </w:rPr>
            </w:pPr>
          </w:p>
        </w:tc>
        <w:tc>
          <w:tcPr>
            <w:tcW w:w="1060" w:type="dxa"/>
            <w:vAlign w:val="bottom"/>
            <w:tcBorders>
              <w:top w:val="single" w:sz="8" w:color="005BA5"/>
              <w:bottom w:val="single" w:sz="8" w:color="005BA5"/>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005BA5"/>
            </w:tcBorders>
          </w:tcPr>
          <w:p>
            <w:pPr>
              <w:spacing w:after="0"/>
              <w:rPr>
                <w:sz w:val="13"/>
                <w:szCs w:val="13"/>
                <w:color w:val="auto"/>
              </w:rPr>
            </w:pPr>
          </w:p>
        </w:tc>
        <w:tc>
          <w:tcPr>
            <w:tcW w:w="1040" w:type="dxa"/>
            <w:vAlign w:val="bottom"/>
            <w:tcBorders>
              <w:top w:val="single" w:sz="8" w:color="005BA5"/>
              <w:bottom w:val="single" w:sz="8" w:color="005BA5"/>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Adjusted net (loss)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35</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Realized capital gains and losses,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Valuation changes on embedded derivatives not hedged, after-tax</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Gain on disposition of operations, after-tax</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applicable to common shareholders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97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Reserve for life-contingent contract benefits as of March 31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8,497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8,707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Contractholder funds as of March 31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9,571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10,643</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6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005BA5"/>
              <w:bottom w:val="single" w:sz="8" w:color="ACACAC"/>
            </w:tcBorders>
          </w:tcPr>
          <w:p>
            <w:pPr>
              <w:spacing w:after="0"/>
              <w:rPr>
                <w:sz w:val="13"/>
                <w:szCs w:val="13"/>
                <w:color w:val="auto"/>
              </w:rPr>
            </w:pPr>
          </w:p>
        </w:tc>
        <w:tc>
          <w:tcPr>
            <w:tcW w:w="1040" w:type="dxa"/>
            <w:vAlign w:val="bottom"/>
            <w:tcBorders>
              <w:top w:val="single" w:sz="8" w:color="005BA5"/>
              <w:bottom w:val="single" w:sz="8" w:color="ACACAC"/>
            </w:tcBorders>
          </w:tcPr>
          <w:p>
            <w:pPr>
              <w:spacing w:after="0"/>
              <w:rPr>
                <w:sz w:val="13"/>
                <w:szCs w:val="13"/>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Policies in force as of March 31 (in thousands)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Deferred annuities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137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Immediate annuities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700" w:type="dxa"/>
            <w:vAlign w:val="bottom"/>
          </w:tcPr>
          <w:p>
            <w:pPr>
              <w:ind w:left="340"/>
              <w:spacing w:after="0"/>
              <w:rPr>
                <w:sz w:val="20"/>
                <w:szCs w:val="20"/>
                <w:color w:val="auto"/>
              </w:rPr>
            </w:pPr>
            <w:r>
              <w:rPr>
                <w:rFonts w:ascii="Arial" w:cs="Arial" w:eastAsia="Arial" w:hAnsi="Arial"/>
                <w:sz w:val="16"/>
                <w:szCs w:val="16"/>
                <w:i w:val="1"/>
                <w:iCs w:val="1"/>
                <w:color w:val="1666AF"/>
              </w:rPr>
              <w:t xml:space="preserve">Net income applicable to common shareholders </w:t>
            </w:r>
            <w:r>
              <w:rPr>
                <w:rFonts w:ascii="Arial" w:cs="Arial" w:eastAsia="Arial" w:hAnsi="Arial"/>
                <w:sz w:val="16"/>
                <w:szCs w:val="16"/>
                <w:color w:val="000000"/>
              </w:rPr>
              <w:t>was $97 million in the</w:t>
            </w:r>
          </w:p>
        </w:tc>
        <w:tc>
          <w:tcPr>
            <w:tcW w:w="5700" w:type="dxa"/>
            <w:vAlign w:val="bottom"/>
          </w:tcPr>
          <w:p>
            <w:pPr>
              <w:ind w:left="560"/>
              <w:spacing w:after="0"/>
              <w:rPr>
                <w:sz w:val="20"/>
                <w:szCs w:val="20"/>
                <w:color w:val="auto"/>
              </w:rPr>
            </w:pPr>
            <w:r>
              <w:rPr>
                <w:rFonts w:ascii="Arial" w:cs="Arial" w:eastAsia="Arial" w:hAnsi="Arial"/>
                <w:sz w:val="16"/>
                <w:szCs w:val="16"/>
                <w:i w:val="1"/>
                <w:iCs w:val="1"/>
                <w:color w:val="1666AF"/>
              </w:rPr>
              <w:t xml:space="preserve">Benefit spread </w:t>
            </w:r>
            <w:r>
              <w:rPr>
                <w:rFonts w:ascii="Arial" w:cs="Arial" w:eastAsia="Arial" w:hAnsi="Arial"/>
                <w:sz w:val="16"/>
                <w:szCs w:val="16"/>
                <w:color w:val="000000"/>
              </w:rPr>
              <w:t>reflects our mortality results using the difference</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first quarter of 2019 compared to $17 million in the first quarter of 2018.</w:t>
            </w:r>
          </w:p>
        </w:tc>
        <w:tc>
          <w:tcPr>
            <w:tcW w:w="5700" w:type="dxa"/>
            <w:vAlign w:val="bottom"/>
          </w:tcPr>
          <w:p>
            <w:pPr>
              <w:ind w:left="240"/>
              <w:spacing w:after="0"/>
              <w:rPr>
                <w:sz w:val="20"/>
                <w:szCs w:val="20"/>
                <w:color w:val="auto"/>
              </w:rPr>
            </w:pPr>
            <w:r>
              <w:rPr>
                <w:rFonts w:ascii="Arial" w:cs="Arial" w:eastAsia="Arial" w:hAnsi="Arial"/>
                <w:sz w:val="16"/>
                <w:szCs w:val="16"/>
                <w:color w:val="auto"/>
              </w:rPr>
              <w:t>between contract charges earned and contract benefits excluding the</w:t>
            </w:r>
          </w:p>
        </w:tc>
        <w:tc>
          <w:tcPr>
            <w:tcW w:w="0" w:type="dxa"/>
            <w:vAlign w:val="bottom"/>
          </w:tcPr>
          <w:p>
            <w:pPr>
              <w:spacing w:after="0"/>
              <w:rPr>
                <w:sz w:val="1"/>
                <w:szCs w:val="1"/>
                <w:color w:val="auto"/>
              </w:rPr>
            </w:pPr>
          </w:p>
        </w:tc>
      </w:tr>
      <w:tr>
        <w:trPr>
          <w:trHeight w:val="189"/>
        </w:trPr>
        <w:tc>
          <w:tcPr>
            <w:tcW w:w="5700" w:type="dxa"/>
            <w:vAlign w:val="bottom"/>
            <w:vMerge w:val="restart"/>
          </w:tcPr>
          <w:p>
            <w:pPr>
              <w:ind w:left="340"/>
              <w:spacing w:after="0"/>
              <w:rPr>
                <w:sz w:val="20"/>
                <w:szCs w:val="20"/>
                <w:color w:val="auto"/>
              </w:rPr>
            </w:pPr>
            <w:r>
              <w:rPr>
                <w:rFonts w:ascii="Arial" w:cs="Arial" w:eastAsia="Arial" w:hAnsi="Arial"/>
                <w:sz w:val="16"/>
                <w:szCs w:val="16"/>
                <w:i w:val="1"/>
                <w:iCs w:val="1"/>
                <w:color w:val="1666AF"/>
              </w:rPr>
              <w:t xml:space="preserve">Adjusted net loss </w:t>
            </w:r>
            <w:r>
              <w:rPr>
                <w:rFonts w:ascii="Arial" w:cs="Arial" w:eastAsia="Arial" w:hAnsi="Arial"/>
                <w:sz w:val="16"/>
                <w:szCs w:val="16"/>
                <w:color w:val="000000"/>
              </w:rPr>
              <w:t>was $25 million in the first quarter of 2019 compared</w:t>
            </w:r>
          </w:p>
        </w:tc>
        <w:tc>
          <w:tcPr>
            <w:tcW w:w="5700" w:type="dxa"/>
            <w:vAlign w:val="bottom"/>
          </w:tcPr>
          <w:p>
            <w:pPr>
              <w:ind w:left="240"/>
              <w:spacing w:after="0"/>
              <w:rPr>
                <w:sz w:val="20"/>
                <w:szCs w:val="20"/>
                <w:color w:val="auto"/>
              </w:rPr>
            </w:pPr>
            <w:r>
              <w:rPr>
                <w:rFonts w:ascii="Arial" w:cs="Arial" w:eastAsia="Arial" w:hAnsi="Arial"/>
                <w:sz w:val="16"/>
                <w:szCs w:val="16"/>
                <w:color w:val="auto"/>
              </w:rPr>
              <w:t>portion related to the implied interest on immediate annuities with life</w:t>
            </w:r>
          </w:p>
        </w:tc>
        <w:tc>
          <w:tcPr>
            <w:tcW w:w="0" w:type="dxa"/>
            <w:vAlign w:val="bottom"/>
          </w:tcPr>
          <w:p>
            <w:pPr>
              <w:spacing w:after="0"/>
              <w:rPr>
                <w:sz w:val="1"/>
                <w:szCs w:val="1"/>
                <w:color w:val="auto"/>
              </w:rPr>
            </w:pPr>
          </w:p>
        </w:tc>
      </w:tr>
      <w:tr>
        <w:trPr>
          <w:trHeight w:val="108"/>
        </w:trPr>
        <w:tc>
          <w:tcPr>
            <w:tcW w:w="5700" w:type="dxa"/>
            <w:vAlign w:val="bottom"/>
            <w:vMerge w:val="continue"/>
          </w:tcPr>
          <w:p>
            <w:pPr>
              <w:spacing w:after="0"/>
              <w:rPr>
                <w:sz w:val="9"/>
                <w:szCs w:val="9"/>
                <w:color w:val="auto"/>
              </w:rPr>
            </w:pPr>
          </w:p>
        </w:tc>
        <w:tc>
          <w:tcPr>
            <w:tcW w:w="5700" w:type="dxa"/>
            <w:vAlign w:val="bottom"/>
            <w:vMerge w:val="restart"/>
          </w:tcPr>
          <w:p>
            <w:pPr>
              <w:ind w:left="240"/>
              <w:spacing w:after="0"/>
              <w:rPr>
                <w:sz w:val="20"/>
                <w:szCs w:val="20"/>
                <w:color w:val="auto"/>
              </w:rPr>
            </w:pPr>
            <w:r>
              <w:rPr>
                <w:rFonts w:ascii="Arial" w:cs="Arial" w:eastAsia="Arial" w:hAnsi="Arial"/>
                <w:sz w:val="16"/>
                <w:szCs w:val="16"/>
                <w:color w:val="auto"/>
              </w:rPr>
              <w:t>contingencies. This implied interest totaled $121 million in the first quarter of</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6"/>
                <w:szCs w:val="16"/>
                <w:color w:val="auto"/>
              </w:rPr>
              <w:t>to adjusted net income of $35 million in the first quarter of 2018. The change</w:t>
            </w:r>
          </w:p>
        </w:tc>
        <w:tc>
          <w:tcPr>
            <w:tcW w:w="5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00" w:type="dxa"/>
            <w:vAlign w:val="bottom"/>
            <w:vMerge w:val="continue"/>
          </w:tcPr>
          <w:p>
            <w:pPr>
              <w:spacing w:after="0"/>
              <w:rPr>
                <w:sz w:val="9"/>
                <w:szCs w:val="9"/>
                <w:color w:val="auto"/>
              </w:rPr>
            </w:pPr>
          </w:p>
        </w:tc>
        <w:tc>
          <w:tcPr>
            <w:tcW w:w="5700" w:type="dxa"/>
            <w:vAlign w:val="bottom"/>
            <w:vMerge w:val="restart"/>
          </w:tcPr>
          <w:p>
            <w:pPr>
              <w:ind w:left="240"/>
              <w:spacing w:after="0"/>
              <w:rPr>
                <w:sz w:val="20"/>
                <w:szCs w:val="20"/>
                <w:color w:val="auto"/>
              </w:rPr>
            </w:pPr>
            <w:r>
              <w:rPr>
                <w:rFonts w:ascii="Arial" w:cs="Arial" w:eastAsia="Arial" w:hAnsi="Arial"/>
                <w:sz w:val="16"/>
                <w:szCs w:val="16"/>
                <w:color w:val="auto"/>
              </w:rPr>
              <w:t>2019 compared to $124 million in the first quarter of 2018. Total benefit</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6"/>
                <w:szCs w:val="16"/>
                <w:color w:val="auto"/>
              </w:rPr>
              <w:t>was primarily due to decreased net investment income, partially offset by</w:t>
            </w:r>
          </w:p>
        </w:tc>
        <w:tc>
          <w:tcPr>
            <w:tcW w:w="5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00" w:type="dxa"/>
            <w:vAlign w:val="bottom"/>
            <w:vMerge w:val="continue"/>
          </w:tcPr>
          <w:p>
            <w:pPr>
              <w:spacing w:after="0"/>
              <w:rPr>
                <w:sz w:val="9"/>
                <w:szCs w:val="9"/>
                <w:color w:val="auto"/>
              </w:rPr>
            </w:pPr>
          </w:p>
        </w:tc>
        <w:tc>
          <w:tcPr>
            <w:tcW w:w="5700" w:type="dxa"/>
            <w:vAlign w:val="bottom"/>
            <w:vMerge w:val="restart"/>
          </w:tcPr>
          <w:p>
            <w:pPr>
              <w:ind w:left="240"/>
              <w:spacing w:after="0"/>
              <w:rPr>
                <w:sz w:val="20"/>
                <w:szCs w:val="20"/>
                <w:color w:val="auto"/>
              </w:rPr>
            </w:pPr>
            <w:r>
              <w:rPr>
                <w:rFonts w:ascii="Arial" w:cs="Arial" w:eastAsia="Arial" w:hAnsi="Arial"/>
                <w:sz w:val="16"/>
                <w:szCs w:val="16"/>
                <w:color w:val="auto"/>
              </w:rPr>
              <w:t>spread was $(15) million in first quarter 2019 compared to $(24) million in</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6"/>
                <w:szCs w:val="16"/>
                <w:color w:val="auto"/>
              </w:rPr>
              <w:t>lower contract benefits.</w:t>
            </w:r>
          </w:p>
        </w:tc>
        <w:tc>
          <w:tcPr>
            <w:tcW w:w="5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5700" w:type="dxa"/>
            <w:vAlign w:val="bottom"/>
            <w:vMerge w:val="continue"/>
          </w:tcPr>
          <w:p>
            <w:pPr>
              <w:spacing w:after="0"/>
              <w:rPr>
                <w:sz w:val="9"/>
                <w:szCs w:val="9"/>
                <w:color w:val="auto"/>
              </w:rPr>
            </w:pPr>
          </w:p>
        </w:tc>
        <w:tc>
          <w:tcPr>
            <w:tcW w:w="5700" w:type="dxa"/>
            <w:vAlign w:val="bottom"/>
            <w:vMerge w:val="restart"/>
          </w:tcPr>
          <w:p>
            <w:pPr>
              <w:ind w:left="240"/>
              <w:spacing w:after="0"/>
              <w:rPr>
                <w:sz w:val="20"/>
                <w:szCs w:val="20"/>
                <w:color w:val="auto"/>
              </w:rPr>
            </w:pPr>
            <w:r>
              <w:rPr>
                <w:rFonts w:ascii="Arial" w:cs="Arial" w:eastAsia="Arial" w:hAnsi="Arial"/>
                <w:sz w:val="16"/>
                <w:szCs w:val="16"/>
                <w:color w:val="auto"/>
              </w:rPr>
              <w:t>first quarter 2018.</w:t>
            </w:r>
          </w:p>
        </w:tc>
        <w:tc>
          <w:tcPr>
            <w:tcW w:w="0" w:type="dxa"/>
            <w:vAlign w:val="bottom"/>
          </w:tcPr>
          <w:p>
            <w:pPr>
              <w:spacing w:after="0"/>
              <w:rPr>
                <w:sz w:val="1"/>
                <w:szCs w:val="1"/>
                <w:color w:val="auto"/>
              </w:rPr>
            </w:pPr>
          </w:p>
        </w:tc>
      </w:tr>
      <w:tr>
        <w:trPr>
          <w:trHeight w:val="81"/>
        </w:trPr>
        <w:tc>
          <w:tcPr>
            <w:tcW w:w="5700" w:type="dxa"/>
            <w:vAlign w:val="bottom"/>
          </w:tcPr>
          <w:p>
            <w:pPr>
              <w:spacing w:after="0"/>
              <w:rPr>
                <w:sz w:val="7"/>
                <w:szCs w:val="7"/>
                <w:color w:val="auto"/>
              </w:rPr>
            </w:pPr>
          </w:p>
        </w:tc>
        <w:tc>
          <w:tcPr>
            <w:tcW w:w="5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340"/>
              <w:spacing w:after="0"/>
              <w:rPr>
                <w:sz w:val="20"/>
                <w:szCs w:val="20"/>
                <w:color w:val="auto"/>
              </w:rPr>
            </w:pPr>
            <w:r>
              <w:rPr>
                <w:rFonts w:ascii="Arial" w:cs="Arial" w:eastAsia="Arial" w:hAnsi="Arial"/>
                <w:sz w:val="16"/>
                <w:szCs w:val="16"/>
                <w:i w:val="1"/>
                <w:iCs w:val="1"/>
                <w:color w:val="1666AF"/>
              </w:rPr>
              <w:t xml:space="preserve">Net investment income </w:t>
            </w:r>
            <w:r>
              <w:rPr>
                <w:rFonts w:ascii="Arial" w:cs="Arial" w:eastAsia="Arial" w:hAnsi="Arial"/>
                <w:sz w:val="16"/>
                <w:szCs w:val="16"/>
                <w:color w:val="000000"/>
              </w:rPr>
              <w:t>decreased 34.5% or $100 million in the first</w:t>
            </w:r>
          </w:p>
        </w:tc>
        <w:tc>
          <w:tcPr>
            <w:tcW w:w="5700" w:type="dxa"/>
            <w:vAlign w:val="bottom"/>
            <w:vMerge w:val="restart"/>
          </w:tcPr>
          <w:p>
            <w:pPr>
              <w:ind w:left="560"/>
              <w:spacing w:after="0"/>
              <w:rPr>
                <w:sz w:val="20"/>
                <w:szCs w:val="20"/>
                <w:color w:val="auto"/>
              </w:rPr>
            </w:pPr>
            <w:r>
              <w:rPr>
                <w:rFonts w:ascii="Arial" w:cs="Arial" w:eastAsia="Arial" w:hAnsi="Arial"/>
                <w:sz w:val="16"/>
                <w:szCs w:val="16"/>
                <w:i w:val="1"/>
                <w:iCs w:val="1"/>
                <w:color w:val="1666AF"/>
              </w:rPr>
              <w:t xml:space="preserve">Interest credited to contractholder funds </w:t>
            </w:r>
            <w:r>
              <w:rPr>
                <w:rFonts w:ascii="Arial" w:cs="Arial" w:eastAsia="Arial" w:hAnsi="Arial"/>
                <w:sz w:val="16"/>
                <w:szCs w:val="16"/>
                <w:color w:val="000000"/>
              </w:rPr>
              <w:t>decreased 2.4% or $2 million</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6"/>
                <w:szCs w:val="16"/>
                <w:color w:val="auto"/>
              </w:rPr>
              <w:t>quarter of 2019 compared to the first quarter of 2018, due to lower</w:t>
            </w:r>
          </w:p>
        </w:tc>
        <w:tc>
          <w:tcPr>
            <w:tcW w:w="5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00" w:type="dxa"/>
            <w:vAlign w:val="bottom"/>
            <w:vMerge w:val="continue"/>
          </w:tcPr>
          <w:p>
            <w:pPr>
              <w:spacing w:after="0"/>
              <w:rPr>
                <w:sz w:val="9"/>
                <w:szCs w:val="9"/>
                <w:color w:val="auto"/>
              </w:rPr>
            </w:pPr>
          </w:p>
        </w:tc>
        <w:tc>
          <w:tcPr>
            <w:tcW w:w="5700" w:type="dxa"/>
            <w:vAlign w:val="bottom"/>
            <w:vMerge w:val="restart"/>
          </w:tcPr>
          <w:p>
            <w:pPr>
              <w:ind w:left="240"/>
              <w:spacing w:after="0"/>
              <w:rPr>
                <w:sz w:val="20"/>
                <w:szCs w:val="20"/>
                <w:color w:val="auto"/>
              </w:rPr>
            </w:pPr>
            <w:r>
              <w:rPr>
                <w:rFonts w:ascii="Arial" w:cs="Arial" w:eastAsia="Arial" w:hAnsi="Arial"/>
                <w:sz w:val="16"/>
                <w:szCs w:val="16"/>
                <w:color w:val="auto"/>
              </w:rPr>
              <w:t>in the first quarter of 2019 compared to the first quarter of 2018, primarily</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6"/>
                <w:szCs w:val="16"/>
                <w:color w:val="auto"/>
              </w:rPr>
              <w:t>performance-based investment results, mainly from limited partnership</w:t>
            </w:r>
          </w:p>
        </w:tc>
        <w:tc>
          <w:tcPr>
            <w:tcW w:w="5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00" w:type="dxa"/>
            <w:vAlign w:val="bottom"/>
            <w:vMerge w:val="continue"/>
          </w:tcPr>
          <w:p>
            <w:pPr>
              <w:spacing w:after="0"/>
              <w:rPr>
                <w:sz w:val="9"/>
                <w:szCs w:val="9"/>
                <w:color w:val="auto"/>
              </w:rPr>
            </w:pPr>
          </w:p>
        </w:tc>
        <w:tc>
          <w:tcPr>
            <w:tcW w:w="5700" w:type="dxa"/>
            <w:vAlign w:val="bottom"/>
            <w:vMerge w:val="restart"/>
          </w:tcPr>
          <w:p>
            <w:pPr>
              <w:ind w:left="240"/>
              <w:spacing w:after="0"/>
              <w:rPr>
                <w:sz w:val="20"/>
                <w:szCs w:val="20"/>
                <w:color w:val="auto"/>
              </w:rPr>
            </w:pPr>
            <w:r>
              <w:rPr>
                <w:rFonts w:ascii="Arial" w:cs="Arial" w:eastAsia="Arial" w:hAnsi="Arial"/>
                <w:sz w:val="16"/>
                <w:szCs w:val="16"/>
                <w:color w:val="auto"/>
              </w:rPr>
              <w:t>due to lower average contractholder funds. Valuation changes on</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6"/>
                <w:szCs w:val="16"/>
                <w:color w:val="auto"/>
              </w:rPr>
              <w:t>interests, and lower average investment balances. Performance-based</w:t>
            </w:r>
          </w:p>
        </w:tc>
        <w:tc>
          <w:tcPr>
            <w:tcW w:w="5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700" w:type="dxa"/>
            <w:vAlign w:val="bottom"/>
            <w:vMerge w:val="continue"/>
          </w:tcPr>
          <w:p>
            <w:pPr>
              <w:spacing w:after="0"/>
              <w:rPr>
                <w:sz w:val="9"/>
                <w:szCs w:val="9"/>
                <w:color w:val="auto"/>
              </w:rPr>
            </w:pPr>
          </w:p>
        </w:tc>
        <w:tc>
          <w:tcPr>
            <w:tcW w:w="5700" w:type="dxa"/>
            <w:vAlign w:val="bottom"/>
            <w:vMerge w:val="restart"/>
          </w:tcPr>
          <w:p>
            <w:pPr>
              <w:ind w:left="240"/>
              <w:spacing w:after="0"/>
              <w:rPr>
                <w:sz w:val="20"/>
                <w:szCs w:val="20"/>
                <w:color w:val="auto"/>
              </w:rPr>
            </w:pPr>
            <w:r>
              <w:rPr>
                <w:rFonts w:ascii="Arial" w:cs="Arial" w:eastAsia="Arial" w:hAnsi="Arial"/>
                <w:sz w:val="16"/>
                <w:szCs w:val="16"/>
                <w:color w:val="auto"/>
              </w:rPr>
              <w:t>derivatives embedded in equity-indexed annuity contracts that are not</w:t>
            </w:r>
          </w:p>
        </w:tc>
        <w:tc>
          <w:tcPr>
            <w:tcW w:w="0" w:type="dxa"/>
            <w:vAlign w:val="bottom"/>
          </w:tcPr>
          <w:p>
            <w:pPr>
              <w:spacing w:after="0"/>
              <w:rPr>
                <w:sz w:val="1"/>
                <w:szCs w:val="1"/>
                <w:color w:val="auto"/>
              </w:rPr>
            </w:pPr>
          </w:p>
        </w:tc>
      </w:tr>
      <w:tr>
        <w:trPr>
          <w:trHeight w:val="81"/>
        </w:trPr>
        <w:tc>
          <w:tcPr>
            <w:tcW w:w="5700" w:type="dxa"/>
            <w:vAlign w:val="bottom"/>
            <w:vMerge w:val="restart"/>
          </w:tcPr>
          <w:p>
            <w:pPr>
              <w:spacing w:after="0"/>
              <w:rPr>
                <w:sz w:val="20"/>
                <w:szCs w:val="20"/>
                <w:color w:val="auto"/>
              </w:rPr>
            </w:pPr>
            <w:r>
              <w:rPr>
                <w:rFonts w:ascii="Arial" w:cs="Arial" w:eastAsia="Arial" w:hAnsi="Arial"/>
                <w:sz w:val="16"/>
                <w:szCs w:val="16"/>
                <w:color w:val="auto"/>
              </w:rPr>
              <w:t>results reflect lower asset appreciation related to private equity investments.</w:t>
            </w:r>
          </w:p>
        </w:tc>
        <w:tc>
          <w:tcPr>
            <w:tcW w:w="5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5700" w:type="dxa"/>
            <w:vAlign w:val="bottom"/>
            <w:vMerge w:val="continue"/>
          </w:tcPr>
          <w:p>
            <w:pPr>
              <w:spacing w:after="0"/>
              <w:rPr>
                <w:sz w:val="9"/>
                <w:szCs w:val="9"/>
                <w:color w:val="auto"/>
              </w:rPr>
            </w:pPr>
          </w:p>
        </w:tc>
        <w:tc>
          <w:tcPr>
            <w:tcW w:w="5700" w:type="dxa"/>
            <w:vAlign w:val="bottom"/>
            <w:vMerge w:val="restart"/>
          </w:tcPr>
          <w:p>
            <w:pPr>
              <w:ind w:left="240"/>
              <w:spacing w:after="0"/>
              <w:rPr>
                <w:sz w:val="20"/>
                <w:szCs w:val="20"/>
                <w:color w:val="auto"/>
              </w:rPr>
            </w:pPr>
            <w:r>
              <w:rPr>
                <w:rFonts w:ascii="Arial" w:cs="Arial" w:eastAsia="Arial" w:hAnsi="Arial"/>
                <w:sz w:val="16"/>
                <w:szCs w:val="16"/>
                <w:color w:val="auto"/>
              </w:rPr>
              <w:t>hedged increased interest credited to contractholder funds by $3 million in</w:t>
            </w:r>
          </w:p>
        </w:tc>
        <w:tc>
          <w:tcPr>
            <w:tcW w:w="0" w:type="dxa"/>
            <w:vAlign w:val="bottom"/>
          </w:tcPr>
          <w:p>
            <w:pPr>
              <w:spacing w:after="0"/>
              <w:rPr>
                <w:sz w:val="1"/>
                <w:szCs w:val="1"/>
                <w:color w:val="auto"/>
              </w:rPr>
            </w:pPr>
          </w:p>
        </w:tc>
      </w:tr>
      <w:tr>
        <w:trPr>
          <w:trHeight w:val="75"/>
        </w:trPr>
        <w:tc>
          <w:tcPr>
            <w:tcW w:w="5700" w:type="dxa"/>
            <w:vAlign w:val="bottom"/>
          </w:tcPr>
          <w:p>
            <w:pPr>
              <w:spacing w:after="0"/>
              <w:rPr>
                <w:sz w:val="6"/>
                <w:szCs w:val="6"/>
                <w:color w:val="auto"/>
              </w:rPr>
            </w:pPr>
          </w:p>
        </w:tc>
        <w:tc>
          <w:tcPr>
            <w:tcW w:w="5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340"/>
              <w:spacing w:after="0"/>
              <w:rPr>
                <w:sz w:val="20"/>
                <w:szCs w:val="20"/>
                <w:color w:val="auto"/>
              </w:rPr>
            </w:pPr>
            <w:r>
              <w:rPr>
                <w:rFonts w:ascii="Arial" w:cs="Arial" w:eastAsia="Arial" w:hAnsi="Arial"/>
                <w:sz w:val="16"/>
                <w:szCs w:val="16"/>
                <w:i w:val="1"/>
                <w:iCs w:val="1"/>
                <w:color w:val="1666AF"/>
              </w:rPr>
              <w:t xml:space="preserve">Net realized capital gains </w:t>
            </w:r>
            <w:r>
              <w:rPr>
                <w:rFonts w:ascii="Arial" w:cs="Arial" w:eastAsia="Arial" w:hAnsi="Arial"/>
                <w:sz w:val="16"/>
                <w:szCs w:val="16"/>
                <w:color w:val="000000"/>
              </w:rPr>
              <w:t>in the first quarter of 2019 primarily related to</w:t>
            </w:r>
          </w:p>
        </w:tc>
        <w:tc>
          <w:tcPr>
            <w:tcW w:w="5700" w:type="dxa"/>
            <w:vAlign w:val="bottom"/>
          </w:tcPr>
          <w:p>
            <w:pPr>
              <w:ind w:left="240"/>
              <w:spacing w:after="0"/>
              <w:rPr>
                <w:sz w:val="20"/>
                <w:szCs w:val="20"/>
                <w:color w:val="auto"/>
              </w:rPr>
            </w:pPr>
            <w:r>
              <w:rPr>
                <w:rFonts w:ascii="Arial" w:cs="Arial" w:eastAsia="Arial" w:hAnsi="Arial"/>
                <w:sz w:val="16"/>
                <w:szCs w:val="16"/>
                <w:color w:val="auto"/>
              </w:rPr>
              <w:t>the first quarter of 2019 compared to a decrease of $4 million in the first</w:t>
            </w:r>
          </w:p>
        </w:tc>
        <w:tc>
          <w:tcPr>
            <w:tcW w:w="0" w:type="dxa"/>
            <w:vAlign w:val="bottom"/>
          </w:tcPr>
          <w:p>
            <w:pPr>
              <w:spacing w:after="0"/>
              <w:rPr>
                <w:sz w:val="1"/>
                <w:szCs w:val="1"/>
                <w:color w:val="auto"/>
              </w:rPr>
            </w:pPr>
          </w:p>
        </w:tc>
      </w:tr>
      <w:tr>
        <w:trPr>
          <w:trHeight w:val="222"/>
        </w:trPr>
        <w:tc>
          <w:tcPr>
            <w:tcW w:w="5700" w:type="dxa"/>
            <w:vAlign w:val="bottom"/>
          </w:tcPr>
          <w:p>
            <w:pPr>
              <w:spacing w:after="0"/>
              <w:rPr>
                <w:sz w:val="20"/>
                <w:szCs w:val="20"/>
                <w:color w:val="auto"/>
              </w:rPr>
            </w:pPr>
            <w:r>
              <w:rPr>
                <w:rFonts w:ascii="Arial" w:cs="Arial" w:eastAsia="Arial" w:hAnsi="Arial"/>
                <w:sz w:val="16"/>
                <w:szCs w:val="16"/>
                <w:color w:val="auto"/>
              </w:rPr>
              <w:t>increased valuation of equity investments.</w:t>
            </w:r>
          </w:p>
        </w:tc>
        <w:tc>
          <w:tcPr>
            <w:tcW w:w="5700" w:type="dxa"/>
            <w:vAlign w:val="bottom"/>
          </w:tcPr>
          <w:p>
            <w:pPr>
              <w:ind w:left="240"/>
              <w:spacing w:after="0"/>
              <w:rPr>
                <w:sz w:val="20"/>
                <w:szCs w:val="20"/>
                <w:color w:val="auto"/>
              </w:rPr>
            </w:pPr>
            <w:r>
              <w:rPr>
                <w:rFonts w:ascii="Arial" w:cs="Arial" w:eastAsia="Arial" w:hAnsi="Arial"/>
                <w:sz w:val="16"/>
                <w:szCs w:val="16"/>
                <w:color w:val="auto"/>
              </w:rPr>
              <w:t>quarter of 2018.</w:t>
            </w:r>
          </w:p>
        </w:tc>
        <w:tc>
          <w:tcPr>
            <w:tcW w:w="0" w:type="dxa"/>
            <w:vAlign w:val="bottom"/>
          </w:tcPr>
          <w:p>
            <w:pPr>
              <w:spacing w:after="0"/>
              <w:rPr>
                <w:sz w:val="1"/>
                <w:szCs w:val="1"/>
                <w:color w:val="auto"/>
              </w:rPr>
            </w:pPr>
          </w:p>
        </w:tc>
      </w:tr>
      <w:tr>
        <w:trPr>
          <w:trHeight w:val="292"/>
        </w:trPr>
        <w:tc>
          <w:tcPr>
            <w:tcW w:w="5700" w:type="dxa"/>
            <w:vAlign w:val="bottom"/>
          </w:tcPr>
          <w:p>
            <w:pPr>
              <w:ind w:left="340"/>
              <w:spacing w:after="0"/>
              <w:rPr>
                <w:sz w:val="20"/>
                <w:szCs w:val="20"/>
                <w:color w:val="auto"/>
              </w:rPr>
            </w:pPr>
            <w:r>
              <w:rPr>
                <w:rFonts w:ascii="Arial" w:cs="Arial" w:eastAsia="Arial" w:hAnsi="Arial"/>
                <w:sz w:val="16"/>
                <w:szCs w:val="16"/>
                <w:i w:val="1"/>
                <w:iCs w:val="1"/>
                <w:color w:val="1666AF"/>
              </w:rPr>
              <w:t xml:space="preserve">Contract benefits </w:t>
            </w:r>
            <w:r>
              <w:rPr>
                <w:rFonts w:ascii="Arial" w:cs="Arial" w:eastAsia="Arial" w:hAnsi="Arial"/>
                <w:sz w:val="16"/>
                <w:szCs w:val="16"/>
                <w:color w:val="000000"/>
              </w:rPr>
              <w:t>decreased 8.0% or $12 million in the first quarter of</w:t>
            </w: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2019 compared to the first quarter of 2018, primarily due to immediate</w:t>
            </w: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annuity mortality experience that was favorable in comparison to the prior</w:t>
            </w: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700" w:type="dxa"/>
            <w:vAlign w:val="bottom"/>
          </w:tcPr>
          <w:p>
            <w:pPr>
              <w:spacing w:after="0"/>
              <w:rPr>
                <w:sz w:val="20"/>
                <w:szCs w:val="20"/>
                <w:color w:val="auto"/>
              </w:rPr>
            </w:pPr>
            <w:r>
              <w:rPr>
                <w:rFonts w:ascii="Arial" w:cs="Arial" w:eastAsia="Arial" w:hAnsi="Arial"/>
                <w:sz w:val="16"/>
                <w:szCs w:val="16"/>
                <w:color w:val="auto"/>
              </w:rPr>
              <w:t>year.</w:t>
            </w:r>
          </w:p>
        </w:tc>
        <w:tc>
          <w:tcPr>
            <w:tcW w:w="5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7"/>
        </w:trPr>
        <w:tc>
          <w:tcPr>
            <w:tcW w:w="5700" w:type="dxa"/>
            <w:vAlign w:val="bottom"/>
          </w:tcPr>
          <w:p>
            <w:pPr>
              <w:spacing w:after="0"/>
              <w:rPr>
                <w:sz w:val="20"/>
                <w:szCs w:val="20"/>
                <w:color w:val="auto"/>
              </w:rPr>
            </w:pPr>
            <w:r>
              <w:rPr>
                <w:rFonts w:ascii="Arial" w:cs="Arial" w:eastAsia="Arial" w:hAnsi="Arial"/>
                <w:sz w:val="16"/>
                <w:szCs w:val="16"/>
                <w:color w:val="1666AF"/>
              </w:rPr>
              <w:t xml:space="preserve">80   </w:t>
            </w:r>
            <w:r>
              <w:rPr>
                <w:rFonts w:ascii="Arial" w:cs="Arial" w:eastAsia="Arial" w:hAnsi="Arial"/>
                <w:sz w:val="16"/>
                <w:szCs w:val="16"/>
                <w:color w:val="000000"/>
              </w:rPr>
              <w:t>www.allstate.com</w:t>
            </w:r>
          </w:p>
        </w:tc>
        <w:tc>
          <w:tcPr>
            <w:tcW w:w="5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-141605</wp:posOffset>
            </wp:positionV>
            <wp:extent cx="111760" cy="11176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11760" cy="11176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84" w:name="page85"/>
    <w:bookmarkEnd w:id="84"/>
    <w:p>
      <w:pPr>
        <w:ind w:left="8900"/>
        <w:spacing w:after="0"/>
        <w:rPr>
          <w:sz w:val="20"/>
          <w:szCs w:val="20"/>
          <w:color w:val="auto"/>
        </w:rPr>
      </w:pPr>
      <w:r>
        <w:rPr>
          <w:rFonts w:ascii="Arial" w:cs="Arial" w:eastAsia="Arial" w:hAnsi="Arial"/>
          <w:sz w:val="16"/>
          <w:szCs w:val="16"/>
          <w:color w:val="auto"/>
        </w:rPr>
        <w:t xml:space="preserve">Allstate Annuities </w:t>
      </w:r>
      <w:r>
        <w:rPr>
          <w:rFonts w:ascii="Arial" w:cs="Arial" w:eastAsia="Arial" w:hAnsi="Arial"/>
          <w:sz w:val="16"/>
          <w:szCs w:val="16"/>
          <w:color w:val="005BA5"/>
        </w:rPr>
        <w:t>Segment Results</w:t>
      </w:r>
    </w:p>
    <w:p>
      <w:pPr>
        <w:spacing w:after="0" w:line="340" w:lineRule="exact"/>
        <w:rPr>
          <w:sz w:val="20"/>
          <w:szCs w:val="20"/>
          <w:color w:val="auto"/>
        </w:rPr>
      </w:pPr>
    </w:p>
    <w:p>
      <w:pPr>
        <w:ind w:right="120" w:firstLine="324"/>
        <w:spacing w:after="0" w:line="264" w:lineRule="auto"/>
        <w:rPr>
          <w:sz w:val="20"/>
          <w:szCs w:val="20"/>
          <w:color w:val="auto"/>
        </w:rPr>
      </w:pPr>
      <w:r>
        <w:rPr>
          <w:rFonts w:ascii="Arial" w:cs="Arial" w:eastAsia="Arial" w:hAnsi="Arial"/>
          <w:sz w:val="16"/>
          <w:szCs w:val="16"/>
          <w:i w:val="1"/>
          <w:iCs w:val="1"/>
          <w:color w:val="1666AF"/>
        </w:rPr>
        <w:t xml:space="preserve">Investment spread </w:t>
      </w:r>
      <w:r>
        <w:rPr>
          <w:rFonts w:ascii="Arial" w:cs="Arial" w:eastAsia="Arial" w:hAnsi="Arial"/>
          <w:sz w:val="16"/>
          <w:szCs w:val="16"/>
          <w:color w:val="000000"/>
        </w:rPr>
        <w:t>reflects the difference between net investment income and the sum of interest credited to contractholder funds and the implied interest</w:t>
      </w:r>
      <w:r>
        <w:rPr>
          <w:rFonts w:ascii="Arial" w:cs="Arial" w:eastAsia="Arial" w:hAnsi="Arial"/>
          <w:sz w:val="16"/>
          <w:szCs w:val="16"/>
          <w:i w:val="1"/>
          <w:iCs w:val="1"/>
          <w:color w:val="1666AF"/>
        </w:rPr>
        <w:t xml:space="preserve"> </w:t>
      </w:r>
      <w:r>
        <w:rPr>
          <w:rFonts w:ascii="Arial" w:cs="Arial" w:eastAsia="Arial" w:hAnsi="Arial"/>
          <w:sz w:val="16"/>
          <w:szCs w:val="16"/>
          <w:color w:val="000000"/>
        </w:rPr>
        <w:t>on immediate annuities with life contingencies, which is included as a component of contract benefits and is used to analyze the impact of net investment income and interest credited to contractholders on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Investment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Investment spread before valuation changes on embedded derivatives not hedged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Valuation changes on derivatives embedded in equity-indexed annuity contracts that are not hedged</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500"/>
              <w:spacing w:after="0"/>
              <w:rPr>
                <w:sz w:val="20"/>
                <w:szCs w:val="20"/>
                <w:color w:val="auto"/>
              </w:rPr>
            </w:pPr>
            <w:r>
              <w:rPr>
                <w:rFonts w:ascii="Arial" w:cs="Arial" w:eastAsia="Arial" w:hAnsi="Arial"/>
                <w:sz w:val="16"/>
                <w:szCs w:val="16"/>
                <w:b w:val="1"/>
                <w:bCs w:val="1"/>
                <w:color w:val="auto"/>
              </w:rPr>
              <w:t>Total investment spread</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83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110" w:lineRule="exact"/>
        <w:rPr>
          <w:sz w:val="20"/>
          <w:szCs w:val="20"/>
          <w:color w:val="auto"/>
        </w:rPr>
      </w:pPr>
    </w:p>
    <w:p>
      <w:pPr>
        <w:sectPr>
          <w:pgSz w:w="11900" w:h="16838" w:orient="portrait"/>
          <w:cols w:equalWidth="0" w:num="1">
            <w:col w:w="11420"/>
          </w:cols>
          <w:pgMar w:left="240" w:top="141" w:right="239" w:bottom="1440" w:gutter="0" w:footer="0" w:header="0"/>
        </w:sectPr>
      </w:pPr>
    </w:p>
    <w:p>
      <w:pPr>
        <w:ind w:firstLine="324"/>
        <w:spacing w:after="0" w:line="251" w:lineRule="auto"/>
        <w:rPr>
          <w:sz w:val="20"/>
          <w:szCs w:val="20"/>
          <w:color w:val="auto"/>
        </w:rPr>
      </w:pPr>
      <w:r>
        <w:rPr>
          <w:rFonts w:ascii="Arial" w:cs="Arial" w:eastAsia="Arial" w:hAnsi="Arial"/>
          <w:sz w:val="16"/>
          <w:szCs w:val="16"/>
          <w:color w:val="auto"/>
        </w:rPr>
        <w:t>Investment spread before valuation changes on embedded derivatives not hedged decreased by $88 million to $(9) million in the first quarter of 2019 compared to $79 million in the first quarter of 2018, primarily due to lower investment income, mainly from limited partnership interests.</w:t>
      </w:r>
    </w:p>
    <w:p>
      <w:pPr>
        <w:spacing w:after="0" w:line="20" w:lineRule="exact"/>
        <w:rPr>
          <w:sz w:val="20"/>
          <w:szCs w:val="20"/>
          <w:color w:val="auto"/>
        </w:rPr>
      </w:pPr>
      <w:r>
        <w:rPr>
          <w:sz w:val="20"/>
          <w:szCs w:val="20"/>
          <w:color w:val="auto"/>
        </w:rPr>
        <w:br w:type="column"/>
      </w:r>
    </w:p>
    <w:p>
      <w:pPr>
        <w:ind w:right="100" w:firstLine="324"/>
        <w:spacing w:after="0" w:line="249" w:lineRule="auto"/>
        <w:rPr>
          <w:sz w:val="20"/>
          <w:szCs w:val="20"/>
          <w:color w:val="auto"/>
        </w:rPr>
      </w:pPr>
      <w:r>
        <w:rPr>
          <w:rFonts w:ascii="Arial" w:cs="Arial" w:eastAsia="Arial" w:hAnsi="Arial"/>
          <w:sz w:val="16"/>
          <w:szCs w:val="16"/>
          <w:color w:val="auto"/>
        </w:rPr>
        <w:t>To further analyze investment spreads, the following table summarizes the weighted average investment yield on assets supporting product liabilities, interest crediting rates and investment spreads. Investment spreads may vary significantly between periods due to the variability in investment income, particularly for immediate fixed annuities where the investment portfolio includes performance-based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77470</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5380" w:space="560"/>
            <w:col w:w="5480"/>
          </w:cols>
          <w:pgMar w:left="240" w:top="141"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Analysis of investment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62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37465</wp:posOffset>
            </wp:positionV>
            <wp:extent cx="52400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auto"/>
                <w:w w:val="90"/>
              </w:rPr>
              <w:t>Weighted average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w w:val="90"/>
              </w:rPr>
              <w:t>Weighted average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4"/>
          </w:tcPr>
          <w:p>
            <w:pPr>
              <w:jc w:val="center"/>
              <w:ind w:left="379"/>
              <w:spacing w:after="0"/>
              <w:rPr>
                <w:sz w:val="20"/>
                <w:szCs w:val="20"/>
                <w:color w:val="auto"/>
              </w:rPr>
            </w:pPr>
            <w:r>
              <w:rPr>
                <w:rFonts w:ascii="Arial" w:cs="Arial" w:eastAsia="Arial" w:hAnsi="Arial"/>
                <w:sz w:val="16"/>
                <w:szCs w:val="16"/>
                <w:b w:val="1"/>
                <w:bCs w:val="1"/>
                <w:color w:val="auto"/>
                <w:w w:val="90"/>
              </w:rPr>
              <w:t>investment yield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4"/>
          </w:tcPr>
          <w:p>
            <w:pPr>
              <w:jc w:val="center"/>
              <w:ind w:left="359"/>
              <w:spacing w:after="0"/>
              <w:rPr>
                <w:sz w:val="20"/>
                <w:szCs w:val="20"/>
                <w:color w:val="auto"/>
              </w:rPr>
            </w:pPr>
            <w:r>
              <w:rPr>
                <w:rFonts w:ascii="Arial" w:cs="Arial" w:eastAsia="Arial" w:hAnsi="Arial"/>
                <w:sz w:val="16"/>
                <w:szCs w:val="16"/>
                <w:b w:val="1"/>
                <w:bCs w:val="1"/>
                <w:color w:val="auto"/>
                <w:w w:val="91"/>
              </w:rPr>
              <w:t>interest crediting rate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investment spreads</w:t>
            </w:r>
          </w:p>
        </w:tc>
      </w:tr>
      <w:tr>
        <w:trPr>
          <w:trHeight w:val="270"/>
        </w:trPr>
        <w:tc>
          <w:tcPr>
            <w:tcW w:w="40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13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4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3"/>
                <w:szCs w:val="23"/>
                <w:color w:val="auto"/>
              </w:rPr>
            </w:pPr>
          </w:p>
        </w:tc>
        <w:tc>
          <w:tcPr>
            <w:tcW w:w="12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r>
      <w:tr>
        <w:trPr>
          <w:trHeight w:val="33"/>
        </w:trPr>
        <w:tc>
          <w:tcPr>
            <w:tcW w:w="3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005BA5"/>
            </w:tcBorders>
          </w:tcPr>
          <w:p>
            <w:pPr>
              <w:spacing w:after="0"/>
              <w:rPr>
                <w:sz w:val="2"/>
                <w:szCs w:val="2"/>
                <w:color w:val="auto"/>
              </w:rPr>
            </w:pPr>
          </w:p>
        </w:tc>
      </w:tr>
      <w:tr>
        <w:trPr>
          <w:trHeight w:val="217"/>
        </w:trPr>
        <w:tc>
          <w:tcPr>
            <w:tcW w:w="4020" w:type="dxa"/>
            <w:vAlign w:val="bottom"/>
            <w:gridSpan w:val="3"/>
          </w:tcPr>
          <w:p>
            <w:pPr>
              <w:ind w:left="40"/>
              <w:spacing w:after="0"/>
              <w:rPr>
                <w:sz w:val="20"/>
                <w:szCs w:val="20"/>
                <w:color w:val="auto"/>
              </w:rPr>
            </w:pPr>
            <w:r>
              <w:rPr>
                <w:rFonts w:ascii="Arial" w:cs="Arial" w:eastAsia="Arial" w:hAnsi="Arial"/>
                <w:sz w:val="16"/>
                <w:szCs w:val="16"/>
                <w:color w:val="auto"/>
              </w:rPr>
              <w:t>Deferred fixed annuities</w:t>
            </w:r>
          </w:p>
        </w:tc>
        <w:tc>
          <w:tcPr>
            <w:tcW w:w="420" w:type="dxa"/>
            <w:vAlign w:val="bottom"/>
          </w:tcPr>
          <w:p>
            <w:pPr>
              <w:ind w:left="60"/>
              <w:spacing w:after="0"/>
              <w:rPr>
                <w:sz w:val="20"/>
                <w:szCs w:val="20"/>
                <w:color w:val="auto"/>
              </w:rPr>
            </w:pPr>
            <w:r>
              <w:rPr>
                <w:rFonts w:ascii="Arial" w:cs="Arial" w:eastAsia="Arial" w:hAnsi="Arial"/>
                <w:sz w:val="16"/>
                <w:szCs w:val="16"/>
                <w:color w:val="auto"/>
                <w:w w:val="93"/>
              </w:rPr>
              <w:t>4.2%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w w:val="93"/>
              </w:rPr>
              <w:t>4.0%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w w:val="93"/>
              </w:rPr>
              <w:t>2.7%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w w:val="93"/>
              </w:rPr>
              <w:t>2.8%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18"/>
                <w:szCs w:val="18"/>
                <w:color w:val="auto"/>
              </w:rPr>
            </w:pPr>
          </w:p>
        </w:tc>
        <w:tc>
          <w:tcPr>
            <w:tcW w:w="1280" w:type="dxa"/>
            <w:vAlign w:val="bottom"/>
          </w:tcPr>
          <w:p>
            <w:pPr>
              <w:ind w:left="920"/>
              <w:spacing w:after="0"/>
              <w:rPr>
                <w:sz w:val="20"/>
                <w:szCs w:val="20"/>
                <w:color w:val="auto"/>
              </w:rPr>
            </w:pPr>
            <w:r>
              <w:rPr>
                <w:rFonts w:ascii="Arial" w:cs="Arial" w:eastAsia="Arial" w:hAnsi="Arial"/>
                <w:sz w:val="16"/>
                <w:szCs w:val="16"/>
                <w:color w:val="auto"/>
                <w:w w:val="93"/>
              </w:rPr>
              <w:t>1.2%</w:t>
            </w:r>
          </w:p>
        </w:tc>
      </w:tr>
      <w:tr>
        <w:trPr>
          <w:trHeight w:val="33"/>
        </w:trPr>
        <w:tc>
          <w:tcPr>
            <w:tcW w:w="3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CACAC"/>
            </w:tcBorders>
          </w:tcPr>
          <w:p>
            <w:pPr>
              <w:spacing w:after="0"/>
              <w:rPr>
                <w:sz w:val="2"/>
                <w:szCs w:val="2"/>
                <w:color w:val="auto"/>
              </w:rPr>
            </w:pPr>
          </w:p>
        </w:tc>
      </w:tr>
      <w:tr>
        <w:trPr>
          <w:trHeight w:val="213"/>
        </w:trPr>
        <w:tc>
          <w:tcPr>
            <w:tcW w:w="4020" w:type="dxa"/>
            <w:vAlign w:val="bottom"/>
            <w:gridSpan w:val="3"/>
          </w:tcPr>
          <w:p>
            <w:pPr>
              <w:ind w:left="40"/>
              <w:spacing w:after="0"/>
              <w:rPr>
                <w:sz w:val="20"/>
                <w:szCs w:val="20"/>
                <w:color w:val="auto"/>
              </w:rPr>
            </w:pPr>
            <w:r>
              <w:rPr>
                <w:rFonts w:ascii="Arial" w:cs="Arial" w:eastAsia="Arial" w:hAnsi="Arial"/>
                <w:sz w:val="16"/>
                <w:szCs w:val="16"/>
                <w:color w:val="auto"/>
              </w:rPr>
              <w:t>Immediate fixed annuities with and without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6"/>
        </w:trPr>
        <w:tc>
          <w:tcPr>
            <w:tcW w:w="4020" w:type="dxa"/>
            <w:vAlign w:val="bottom"/>
            <w:gridSpan w:val="3"/>
          </w:tcPr>
          <w:p>
            <w:pPr>
              <w:ind w:left="40"/>
              <w:spacing w:after="0"/>
              <w:rPr>
                <w:sz w:val="20"/>
                <w:szCs w:val="20"/>
                <w:color w:val="auto"/>
              </w:rPr>
            </w:pPr>
            <w:r>
              <w:rPr>
                <w:rFonts w:ascii="Arial" w:cs="Arial" w:eastAsia="Arial" w:hAnsi="Arial"/>
                <w:sz w:val="16"/>
                <w:szCs w:val="16"/>
                <w:color w:val="auto"/>
              </w:rPr>
              <w:t>life contingencies</w:t>
            </w:r>
          </w:p>
        </w:tc>
        <w:tc>
          <w:tcPr>
            <w:tcW w:w="420" w:type="dxa"/>
            <w:vAlign w:val="bottom"/>
          </w:tcPr>
          <w:p>
            <w:pPr>
              <w:ind w:left="6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280" w:type="dxa"/>
            <w:vAlign w:val="bottom"/>
          </w:tcPr>
          <w:p>
            <w:pPr>
              <w:ind w:left="920"/>
              <w:spacing w:after="0"/>
              <w:rPr>
                <w:sz w:val="20"/>
                <w:szCs w:val="20"/>
                <w:color w:val="auto"/>
              </w:rPr>
            </w:pPr>
            <w:r>
              <w:rPr>
                <w:rFonts w:ascii="Arial" w:cs="Arial" w:eastAsia="Arial" w:hAnsi="Arial"/>
                <w:sz w:val="16"/>
                <w:szCs w:val="16"/>
                <w:color w:val="auto"/>
              </w:rPr>
              <w:t>0.9</w:t>
            </w:r>
          </w:p>
        </w:tc>
      </w:tr>
      <w:tr>
        <w:trPr>
          <w:trHeight w:val="33"/>
        </w:trPr>
        <w:tc>
          <w:tcPr>
            <w:tcW w:w="3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005BA5"/>
            </w:tcBorders>
          </w:tcPr>
          <w:p>
            <w:pPr>
              <w:spacing w:after="0"/>
              <w:rPr>
                <w:sz w:val="2"/>
                <w:szCs w:val="2"/>
                <w:color w:val="auto"/>
              </w:rPr>
            </w:pPr>
          </w:p>
        </w:tc>
      </w:tr>
    </w:tbl>
    <w:p>
      <w:pPr>
        <w:spacing w:after="0" w:line="94" w:lineRule="exact"/>
        <w:rPr>
          <w:sz w:val="20"/>
          <w:szCs w:val="20"/>
          <w:color w:val="auto"/>
        </w:rPr>
      </w:pPr>
    </w:p>
    <w:p>
      <w:pPr>
        <w:ind w:right="60" w:firstLine="324"/>
        <w:spacing w:after="0" w:line="281" w:lineRule="auto"/>
        <w:rPr>
          <w:sz w:val="20"/>
          <w:szCs w:val="20"/>
          <w:color w:val="auto"/>
        </w:rPr>
      </w:pPr>
      <w:r>
        <w:rPr>
          <w:rFonts w:ascii="Arial" w:cs="Arial" w:eastAsia="Arial" w:hAnsi="Arial"/>
          <w:sz w:val="16"/>
          <w:szCs w:val="16"/>
          <w:i w:val="1"/>
          <w:iCs w:val="1"/>
          <w:color w:val="1666AF"/>
        </w:rPr>
        <w:t xml:space="preserve">Operating costs and expenses </w:t>
      </w:r>
      <w:r>
        <w:rPr>
          <w:rFonts w:ascii="Arial" w:cs="Arial" w:eastAsia="Arial" w:hAnsi="Arial"/>
          <w:sz w:val="16"/>
          <w:szCs w:val="16"/>
          <w:color w:val="000000"/>
        </w:rPr>
        <w:t>decreased by $2 million in the first quarter of 2019 compared to the same period of 2018, primarily due to lower technology</w:t>
      </w:r>
      <w:r>
        <w:rPr>
          <w:rFonts w:ascii="Arial" w:cs="Arial" w:eastAsia="Arial" w:hAnsi="Arial"/>
          <w:sz w:val="16"/>
          <w:szCs w:val="16"/>
          <w:i w:val="1"/>
          <w:iCs w:val="1"/>
          <w:color w:val="1666AF"/>
        </w:rPr>
        <w:t xml:space="preserve"> </w:t>
      </w:r>
      <w:r>
        <w:rPr>
          <w:rFonts w:ascii="Arial" w:cs="Arial" w:eastAsia="Arial" w:hAnsi="Arial"/>
          <w:sz w:val="16"/>
          <w:szCs w:val="16"/>
          <w:color w:val="000000"/>
        </w:rPr>
        <w:t>and employee-related costs.</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1666AF"/>
        </w:rPr>
        <w:t>Analysis of reserves and contractholder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Product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0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00" w:type="dxa"/>
            <w:vAlign w:val="bottom"/>
          </w:tcPr>
          <w:p>
            <w:pPr>
              <w:spacing w:after="0"/>
              <w:rPr>
                <w:sz w:val="20"/>
                <w:szCs w:val="20"/>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2019</w:t>
            </w:r>
          </w:p>
        </w:tc>
        <w:tc>
          <w:tcPr>
            <w:tcW w:w="240" w:type="dxa"/>
            <w:vAlign w:val="bottom"/>
          </w:tcPr>
          <w:p>
            <w:pPr>
              <w:spacing w:after="0"/>
              <w:rPr>
                <w:sz w:val="20"/>
                <w:szCs w:val="20"/>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2018</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31"/>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Immediate fixed annuities with life contingencies</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50"/>
        </w:trPr>
        <w:tc>
          <w:tcPr>
            <w:tcW w:w="7080" w:type="dxa"/>
            <w:vAlign w:val="bottom"/>
            <w:tcBorders>
              <w:bottom w:val="single" w:sz="8" w:color="ACACAC"/>
            </w:tcBorders>
          </w:tcPr>
          <w:p>
            <w:pPr>
              <w:ind w:left="280"/>
              <w:spacing w:after="0" w:line="250" w:lineRule="exact"/>
              <w:rPr>
                <w:sz w:val="20"/>
                <w:szCs w:val="20"/>
                <w:color w:val="auto"/>
              </w:rPr>
            </w:pPr>
            <w:r>
              <w:rPr>
                <w:rFonts w:ascii="Arial" w:cs="Arial" w:eastAsia="Arial" w:hAnsi="Arial"/>
                <w:sz w:val="16"/>
                <w:szCs w:val="16"/>
                <w:color w:val="auto"/>
              </w:rPr>
              <w:t xml:space="preserve">Sub-standard structured settlements and group pension terminations </w:t>
            </w:r>
            <w:r>
              <w:rPr>
                <w:rFonts w:ascii="Arial" w:cs="Arial" w:eastAsia="Arial" w:hAnsi="Arial"/>
                <w:sz w:val="27"/>
                <w:szCs w:val="27"/>
                <w:color w:val="006EBF"/>
                <w:vertAlign w:val="superscript"/>
              </w:rPr>
              <w:t>(1)</w:t>
            </w:r>
          </w:p>
        </w:tc>
        <w:tc>
          <w:tcPr>
            <w:tcW w:w="120" w:type="dxa"/>
            <w:vAlign w:val="bottom"/>
          </w:tcPr>
          <w:p>
            <w:pPr>
              <w:spacing w:after="0"/>
              <w:rPr>
                <w:sz w:val="21"/>
                <w:szCs w:val="21"/>
                <w:color w:val="auto"/>
              </w:rPr>
            </w:pPr>
          </w:p>
        </w:tc>
        <w:tc>
          <w:tcPr>
            <w:tcW w:w="300" w:type="dxa"/>
            <w:vAlign w:val="bottom"/>
            <w:tcBorders>
              <w:bottom w:val="single" w:sz="8" w:color="ACACAC"/>
            </w:tcBorders>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4,987</w:t>
            </w:r>
          </w:p>
        </w:tc>
        <w:tc>
          <w:tcPr>
            <w:tcW w:w="100" w:type="dxa"/>
            <w:vAlign w:val="bottom"/>
          </w:tcPr>
          <w:p>
            <w:pPr>
              <w:spacing w:after="0"/>
              <w:rPr>
                <w:sz w:val="21"/>
                <w:szCs w:val="21"/>
                <w:color w:val="auto"/>
              </w:rPr>
            </w:pPr>
          </w:p>
        </w:tc>
        <w:tc>
          <w:tcPr>
            <w:tcW w:w="240" w:type="dxa"/>
            <w:vAlign w:val="bottom"/>
            <w:tcBorders>
              <w:bottom w:val="single" w:sz="8" w:color="ACACAC"/>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4,990</w:t>
            </w:r>
          </w:p>
        </w:tc>
      </w:tr>
      <w:tr>
        <w:trPr>
          <w:trHeight w:val="250"/>
        </w:trPr>
        <w:tc>
          <w:tcPr>
            <w:tcW w:w="7080" w:type="dxa"/>
            <w:vAlign w:val="bottom"/>
            <w:tcBorders>
              <w:bottom w:val="single" w:sz="8" w:color="ACACAC"/>
            </w:tcBorders>
          </w:tcPr>
          <w:p>
            <w:pPr>
              <w:ind w:left="280"/>
              <w:spacing w:after="0" w:line="250" w:lineRule="exact"/>
              <w:rPr>
                <w:sz w:val="20"/>
                <w:szCs w:val="20"/>
                <w:color w:val="auto"/>
              </w:rPr>
            </w:pPr>
            <w:r>
              <w:rPr>
                <w:rFonts w:ascii="Arial" w:cs="Arial" w:eastAsia="Arial" w:hAnsi="Arial"/>
                <w:sz w:val="16"/>
                <w:szCs w:val="16"/>
                <w:color w:val="auto"/>
              </w:rPr>
              <w:t xml:space="preserve">Standard structured settlements and SPIA </w:t>
            </w:r>
            <w:r>
              <w:rPr>
                <w:rFonts w:ascii="Arial" w:cs="Arial" w:eastAsia="Arial" w:hAnsi="Arial"/>
                <w:sz w:val="27"/>
                <w:szCs w:val="27"/>
                <w:color w:val="006EBF"/>
                <w:vertAlign w:val="superscript"/>
              </w:rPr>
              <w:t>(2)</w:t>
            </w:r>
          </w:p>
        </w:tc>
        <w:tc>
          <w:tcPr>
            <w:tcW w:w="120" w:type="dxa"/>
            <w:vAlign w:val="bottom"/>
          </w:tcPr>
          <w:p>
            <w:pPr>
              <w:spacing w:after="0"/>
              <w:rPr>
                <w:sz w:val="21"/>
                <w:szCs w:val="21"/>
                <w:color w:val="auto"/>
              </w:rPr>
            </w:pPr>
          </w:p>
        </w:tc>
        <w:tc>
          <w:tcPr>
            <w:tcW w:w="300" w:type="dxa"/>
            <w:vAlign w:val="bottom"/>
            <w:tcBorders>
              <w:bottom w:val="single" w:sz="8" w:color="ACACAC"/>
            </w:tcBorders>
          </w:tcPr>
          <w:p>
            <w:pPr>
              <w:spacing w:after="0"/>
              <w:rPr>
                <w:sz w:val="21"/>
                <w:szCs w:val="21"/>
                <w:color w:val="auto"/>
              </w:rPr>
            </w:pPr>
          </w:p>
        </w:tc>
        <w:tc>
          <w:tcPr>
            <w:tcW w:w="1780" w:type="dxa"/>
            <w:vAlign w:val="bottom"/>
            <w:tcBorders>
              <w:bottom w:val="single" w:sz="8" w:color="ACACAC"/>
            </w:tcBorders>
          </w:tcPr>
          <w:p>
            <w:pPr>
              <w:jc w:val="right"/>
              <w:ind w:right="39"/>
              <w:spacing w:after="0"/>
              <w:rPr>
                <w:sz w:val="20"/>
                <w:szCs w:val="20"/>
                <w:color w:val="auto"/>
              </w:rPr>
            </w:pPr>
            <w:r>
              <w:rPr>
                <w:rFonts w:ascii="Arial" w:cs="Arial" w:eastAsia="Arial" w:hAnsi="Arial"/>
                <w:sz w:val="16"/>
                <w:szCs w:val="16"/>
                <w:color w:val="auto"/>
              </w:rPr>
              <w:t>3,401</w:t>
            </w:r>
          </w:p>
        </w:tc>
        <w:tc>
          <w:tcPr>
            <w:tcW w:w="100" w:type="dxa"/>
            <w:vAlign w:val="bottom"/>
          </w:tcPr>
          <w:p>
            <w:pPr>
              <w:spacing w:after="0"/>
              <w:rPr>
                <w:sz w:val="21"/>
                <w:szCs w:val="21"/>
                <w:color w:val="auto"/>
              </w:rPr>
            </w:pPr>
          </w:p>
        </w:tc>
        <w:tc>
          <w:tcPr>
            <w:tcW w:w="240" w:type="dxa"/>
            <w:vAlign w:val="bottom"/>
            <w:tcBorders>
              <w:bottom w:val="single" w:sz="8" w:color="ACACAC"/>
            </w:tcBorders>
          </w:tcPr>
          <w:p>
            <w:pPr>
              <w:spacing w:after="0"/>
              <w:rPr>
                <w:sz w:val="21"/>
                <w:szCs w:val="21"/>
                <w:color w:val="auto"/>
              </w:rPr>
            </w:pPr>
          </w:p>
        </w:tc>
        <w:tc>
          <w:tcPr>
            <w:tcW w:w="180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rPr>
              <w:t>3,425</w:t>
            </w: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109</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Reserve for life-contingent contract benefits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b w:val="1"/>
                <w:bCs w:val="1"/>
                <w:color w:val="auto"/>
              </w:rPr>
              <w:t>8,497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8,524</w:t>
            </w:r>
          </w:p>
        </w:tc>
      </w:tr>
      <w:tr>
        <w:trPr>
          <w:trHeight w:val="33"/>
        </w:trPr>
        <w:tc>
          <w:tcPr>
            <w:tcW w:w="72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156"/>
        </w:trPr>
        <w:tc>
          <w:tcPr>
            <w:tcW w:w="7080" w:type="dxa"/>
            <w:vAlign w:val="bottom"/>
            <w:tcBorders>
              <w:top w:val="single" w:sz="8" w:color="005BA5"/>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Borders>
              <w:top w:val="single" w:sz="8" w:color="005BA5"/>
              <w:bottom w:val="single" w:sz="8" w:color="ACACAC"/>
            </w:tcBorders>
          </w:tcPr>
          <w:p>
            <w:pPr>
              <w:spacing w:after="0"/>
              <w:rPr>
                <w:sz w:val="13"/>
                <w:szCs w:val="13"/>
                <w:color w:val="auto"/>
              </w:rPr>
            </w:pPr>
          </w:p>
        </w:tc>
        <w:tc>
          <w:tcPr>
            <w:tcW w:w="1780" w:type="dxa"/>
            <w:vAlign w:val="bottom"/>
            <w:tcBorders>
              <w:top w:val="single" w:sz="8" w:color="005BA5"/>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005BA5"/>
              <w:bottom w:val="single" w:sz="8" w:color="ACACAC"/>
            </w:tcBorders>
          </w:tcPr>
          <w:p>
            <w:pPr>
              <w:spacing w:after="0"/>
              <w:rPr>
                <w:sz w:val="13"/>
                <w:szCs w:val="13"/>
                <w:color w:val="auto"/>
              </w:rPr>
            </w:pPr>
          </w:p>
        </w:tc>
        <w:tc>
          <w:tcPr>
            <w:tcW w:w="1800" w:type="dxa"/>
            <w:vAlign w:val="bottom"/>
            <w:tcBorders>
              <w:top w:val="single" w:sz="8" w:color="005BA5"/>
              <w:bottom w:val="single" w:sz="8" w:color="ACACAC"/>
            </w:tcBorders>
          </w:tcPr>
          <w:p>
            <w:pPr>
              <w:spacing w:after="0"/>
              <w:rPr>
                <w:sz w:val="13"/>
                <w:szCs w:val="13"/>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Deferred fixed annuities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6,962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7,156</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Immediate fixed annuities without life contingencies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2,478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2,525</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Contractholder funds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b w:val="1"/>
                <w:bCs w:val="1"/>
                <w:color w:val="auto"/>
              </w:rPr>
              <w:t>9,571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9,817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p>
      <w:pPr>
        <w:ind w:left="280" w:right="140" w:hanging="191"/>
        <w:spacing w:after="0" w:line="188" w:lineRule="auto"/>
        <w:tabs>
          <w:tab w:leader="none" w:pos="280" w:val="left"/>
        </w:tabs>
        <w:numPr>
          <w:ilvl w:val="0"/>
          <w:numId w:val="80"/>
        </w:numPr>
        <w:rPr>
          <w:rFonts w:ascii="Arial" w:cs="Arial" w:eastAsia="Arial" w:hAnsi="Arial"/>
          <w:sz w:val="23"/>
          <w:szCs w:val="23"/>
          <w:color w:val="005BA5"/>
          <w:vertAlign w:val="superscript"/>
        </w:rPr>
      </w:pPr>
      <w:r>
        <w:rPr>
          <w:rFonts w:ascii="Arial" w:cs="Arial" w:eastAsia="Arial" w:hAnsi="Arial"/>
          <w:sz w:val="14"/>
          <w:szCs w:val="14"/>
          <w:color w:val="auto"/>
        </w:rPr>
        <w:t>Comprises structured settlement annuities for annuitants with severe injuries or other health impairments which increased their expected mortality rate at the time the annuity was issued (“sub-standard structured settlements”) and group annuity contracts issued to sponsors of terminated pension plans.</w:t>
      </w:r>
    </w:p>
    <w:p>
      <w:pPr>
        <w:spacing w:after="0" w:line="44" w:lineRule="exact"/>
        <w:rPr>
          <w:rFonts w:ascii="Arial" w:cs="Arial" w:eastAsia="Arial" w:hAnsi="Arial"/>
          <w:sz w:val="23"/>
          <w:szCs w:val="23"/>
          <w:color w:val="005BA5"/>
          <w:vertAlign w:val="superscript"/>
        </w:rPr>
      </w:pPr>
    </w:p>
    <w:p>
      <w:pPr>
        <w:ind w:left="280" w:right="240" w:hanging="191"/>
        <w:spacing w:after="0" w:line="188" w:lineRule="auto"/>
        <w:tabs>
          <w:tab w:leader="none" w:pos="280" w:val="left"/>
        </w:tabs>
        <w:numPr>
          <w:ilvl w:val="0"/>
          <w:numId w:val="80"/>
        </w:numPr>
        <w:rPr>
          <w:rFonts w:ascii="Arial" w:cs="Arial" w:eastAsia="Arial" w:hAnsi="Arial"/>
          <w:sz w:val="23"/>
          <w:szCs w:val="23"/>
          <w:color w:val="005BA5"/>
          <w:vertAlign w:val="superscript"/>
        </w:rPr>
      </w:pPr>
      <w:r>
        <w:rPr>
          <w:rFonts w:ascii="Arial" w:cs="Arial" w:eastAsia="Arial" w:hAnsi="Arial"/>
          <w:sz w:val="14"/>
          <w:szCs w:val="14"/>
          <w:color w:val="auto"/>
        </w:rPr>
        <w:t>Comprises structured settlement annuities for annuitants with standard life expectancy (“standard structured settlements”) and single premium immediate annuities (“SPIA”) with life contingencies.</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81</w:t>
      </w:r>
    </w:p>
    <w:p>
      <w:pPr>
        <w:sectPr>
          <w:pgSz w:w="11900" w:h="16838" w:orient="portrait"/>
          <w:cols w:equalWidth="0" w:num="1">
            <w:col w:w="11420"/>
          </w:cols>
          <w:pgMar w:left="240" w:top="141" w:right="2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6"/>
          <w:szCs w:val="16"/>
          <w:color w:val="005BA5"/>
        </w:rPr>
        <w:t xml:space="preserve">Segment Results </w:t>
      </w:r>
      <w:r>
        <w:rPr>
          <w:rFonts w:ascii="Arial" w:cs="Arial" w:eastAsia="Arial" w:hAnsi="Arial"/>
          <w:sz w:val="16"/>
          <w:szCs w:val="16"/>
          <w:color w:val="000000"/>
        </w:rPr>
        <w:t>Allstate Annuities</w:t>
      </w:r>
    </w:p>
    <w:p>
      <w:pPr>
        <w:spacing w:after="0" w:line="340" w:lineRule="exact"/>
        <w:rPr>
          <w:sz w:val="20"/>
          <w:szCs w:val="20"/>
          <w:color w:val="auto"/>
        </w:rPr>
      </w:pPr>
    </w:p>
    <w:p>
      <w:pPr>
        <w:ind w:right="160" w:firstLine="324"/>
        <w:spacing w:after="0" w:line="264" w:lineRule="auto"/>
        <w:rPr>
          <w:sz w:val="20"/>
          <w:szCs w:val="20"/>
          <w:color w:val="auto"/>
        </w:rPr>
      </w:pPr>
      <w:r>
        <w:rPr>
          <w:rFonts w:ascii="Arial" w:cs="Arial" w:eastAsia="Arial" w:hAnsi="Arial"/>
          <w:sz w:val="16"/>
          <w:szCs w:val="16"/>
          <w:i w:val="1"/>
          <w:iCs w:val="1"/>
          <w:color w:val="1666AF"/>
        </w:rPr>
        <w:t xml:space="preserve">Contractholder funds </w:t>
      </w:r>
      <w:r>
        <w:rPr>
          <w:rFonts w:ascii="Arial" w:cs="Arial" w:eastAsia="Arial" w:hAnsi="Arial"/>
          <w:sz w:val="16"/>
          <w:szCs w:val="16"/>
          <w:color w:val="000000"/>
        </w:rPr>
        <w:t>represent interest-bearing liabilities arising from the sale of products such as fixed annuities. The balance of contractholder funds is</w:t>
      </w:r>
      <w:r>
        <w:rPr>
          <w:rFonts w:ascii="Arial" w:cs="Arial" w:eastAsia="Arial" w:hAnsi="Arial"/>
          <w:sz w:val="16"/>
          <w:szCs w:val="16"/>
          <w:i w:val="1"/>
          <w:iCs w:val="1"/>
          <w:color w:val="1666AF"/>
        </w:rPr>
        <w:t xml:space="preserve"> </w:t>
      </w:r>
      <w:r>
        <w:rPr>
          <w:rFonts w:ascii="Arial" w:cs="Arial" w:eastAsia="Arial" w:hAnsi="Arial"/>
          <w:sz w:val="16"/>
          <w:szCs w:val="16"/>
          <w:color w:val="000000"/>
        </w:rPr>
        <w:t>equal to the cumulative deposits received and interest credited to the contractholder less cumulative contract benefits, surrenders, withdrawals and contract charges for mortality or administrative expenses. The following table shows the changes in contractholder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Changes in contractholder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Contractholder funds, beginning balance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9,817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10,936</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Deposits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Interest credited</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Benefits, withdrawals and other adjustments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7"/>
        </w:trPr>
        <w:tc>
          <w:tcPr>
            <w:tcW w:w="8460" w:type="dxa"/>
            <w:vAlign w:val="bottom"/>
            <w:tcBorders>
              <w:bottom w:val="single" w:sz="8" w:color="ACACAC"/>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CACAC"/>
            </w:tcBorders>
          </w:tcPr>
          <w:p>
            <w:pPr>
              <w:spacing w:after="0"/>
              <w:rPr>
                <w:sz w:val="4"/>
                <w:szCs w:val="4"/>
                <w:color w:val="auto"/>
              </w:rPr>
            </w:pPr>
          </w:p>
        </w:tc>
        <w:tc>
          <w:tcPr>
            <w:tcW w:w="1060" w:type="dxa"/>
            <w:vAlign w:val="bottom"/>
            <w:tcBorders>
              <w:bottom w:val="single" w:sz="8" w:color="ACACAC"/>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CACAC"/>
            </w:tcBorders>
          </w:tcPr>
          <w:p>
            <w:pPr>
              <w:spacing w:after="0"/>
              <w:rPr>
                <w:sz w:val="4"/>
                <w:szCs w:val="4"/>
                <w:color w:val="auto"/>
              </w:rPr>
            </w:pPr>
          </w:p>
        </w:tc>
        <w:tc>
          <w:tcPr>
            <w:tcW w:w="1040" w:type="dxa"/>
            <w:vAlign w:val="bottom"/>
            <w:tcBorders>
              <w:bottom w:val="single" w:sz="8" w:color="ACACAC"/>
            </w:tcBorders>
          </w:tcPr>
          <w:p>
            <w:pPr>
              <w:spacing w:after="0"/>
              <w:rPr>
                <w:sz w:val="4"/>
                <w:szCs w:val="4"/>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Benefits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Surrenders and partial withdrawals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Contract charges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Net transfers from separate accounts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005BA5"/>
            </w:tcBorders>
          </w:tcPr>
          <w:p>
            <w:pPr>
              <w:ind w:left="40"/>
              <w:spacing w:after="0" w:line="250" w:lineRule="exact"/>
              <w:rPr>
                <w:sz w:val="20"/>
                <w:szCs w:val="20"/>
                <w:color w:val="auto"/>
              </w:rPr>
            </w:pPr>
            <w:r>
              <w:rPr>
                <w:rFonts w:ascii="Arial" w:cs="Arial" w:eastAsia="Arial" w:hAnsi="Arial"/>
                <w:sz w:val="16"/>
                <w:szCs w:val="16"/>
                <w:color w:val="auto"/>
              </w:rPr>
              <w:t xml:space="preserve">Other adjustments </w:t>
            </w:r>
            <w:r>
              <w:rPr>
                <w:rFonts w:ascii="Arial" w:cs="Arial" w:eastAsia="Arial" w:hAnsi="Arial"/>
                <w:sz w:val="27"/>
                <w:szCs w:val="27"/>
                <w:color w:val="005BA5"/>
                <w:vertAlign w:val="superscript"/>
              </w:rPr>
              <w:t>(1)</w:t>
            </w:r>
          </w:p>
        </w:tc>
        <w:tc>
          <w:tcPr>
            <w:tcW w:w="12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4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(20)</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Total benefits, withdrawals and other adjustments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Contractholder funds, ending balance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9,571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10,643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5" w:lineRule="exact"/>
        <w:rPr>
          <w:sz w:val="20"/>
          <w:szCs w:val="20"/>
          <w:color w:val="auto"/>
        </w:rPr>
      </w:pPr>
    </w:p>
    <w:p>
      <w:pPr>
        <w:ind w:left="280" w:right="520" w:hanging="191"/>
        <w:spacing w:after="0" w:line="211" w:lineRule="auto"/>
        <w:tabs>
          <w:tab w:leader="none" w:pos="280" w:val="left"/>
        </w:tabs>
        <w:numPr>
          <w:ilvl w:val="0"/>
          <w:numId w:val="81"/>
        </w:numPr>
        <w:rPr>
          <w:rFonts w:ascii="Arial" w:cs="Arial" w:eastAsia="Arial" w:hAnsi="Arial"/>
          <w:sz w:val="23"/>
          <w:szCs w:val="23"/>
          <w:color w:val="005BA5"/>
          <w:vertAlign w:val="superscript"/>
        </w:rPr>
      </w:pPr>
      <w:r>
        <w:rPr>
          <w:rFonts w:ascii="Arial" w:cs="Arial" w:eastAsia="Arial" w:hAnsi="Arial"/>
          <w:sz w:val="14"/>
          <w:szCs w:val="14"/>
          <w:color w:val="auto"/>
        </w:rPr>
        <w:t>The table above illustrates the changes in contractholder funds, which are presented gross of reinsurance recoverables on the Condensed Consolidated Statements of Financial Position. The table above is intended to supplement our discussion and analysis of revenues, which are presented net of reinsurance on the Condensed Consolidated Statements of Operations. As a result, the net change in contractholder funds associated with products reinsured is reflected as a component of the other adjustments line.</w:t>
      </w:r>
    </w:p>
    <w:p>
      <w:pPr>
        <w:sectPr>
          <w:pgSz w:w="11900" w:h="16838" w:orient="portrait"/>
          <w:cols w:equalWidth="0" w:num="1">
            <w:col w:w="11420"/>
          </w:cols>
          <w:pgMar w:left="240" w:top="141" w:right="239" w:bottom="1440" w:gutter="0" w:footer="0" w:header="0"/>
        </w:sectPr>
      </w:pPr>
    </w:p>
    <w:p>
      <w:pPr>
        <w:spacing w:after="0" w:line="96"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color w:val="auto"/>
        </w:rPr>
        <w:t>Contractholder funds decreased 2.5% in the first quarter of 2019, primarily due to the continued runoff of our deferred fixed annuity business. We discontinued the sale of annuities but still accept additional deposits on existing contracts.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20" w:firstLine="324"/>
        <w:spacing w:after="0" w:line="250" w:lineRule="auto"/>
        <w:rPr>
          <w:sz w:val="20"/>
          <w:szCs w:val="20"/>
          <w:color w:val="auto"/>
        </w:rPr>
      </w:pPr>
      <w:r>
        <w:rPr>
          <w:rFonts w:ascii="Arial" w:cs="Arial" w:eastAsia="Arial" w:hAnsi="Arial"/>
          <w:sz w:val="16"/>
          <w:szCs w:val="16"/>
          <w:color w:val="auto"/>
        </w:rPr>
        <w:t>Surrenders and partial withdrawals decreased 10.0% to $181 million in the first quarter of 2019 from $201 million in the first quarter of 2018. The annualized surrender and partial withdrawal rate on deferred fixed annuities, based on the beginning of year contractholder funds, was 11.1% in the first three months of 2019 compared to 10.7% in the first three months of 2018.</w:t>
      </w:r>
    </w:p>
    <w:p>
      <w:pPr>
        <w:spacing w:after="0" w:line="200" w:lineRule="exact"/>
        <w:rPr>
          <w:sz w:val="20"/>
          <w:szCs w:val="20"/>
          <w:color w:val="auto"/>
        </w:rPr>
      </w:pPr>
    </w:p>
    <w:p>
      <w:pPr>
        <w:sectPr>
          <w:pgSz w:w="11900" w:h="16838" w:orient="portrait"/>
          <w:cols w:equalWidth="0" w:num="2">
            <w:col w:w="5380" w:space="560"/>
            <w:col w:w="5480"/>
          </w:cols>
          <w:pgMar w:left="240" w:top="141" w:right="239" w:bottom="1440" w:gutter="0" w:footer="0" w:header="0"/>
          <w:type w:val="continuous"/>
        </w:sectPr>
      </w:pP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82 </w:t>
      </w:r>
      <w:r>
        <w:rPr>
          <w:sz w:val="1"/>
          <w:szCs w:val="1"/>
          <w:color w:val="auto"/>
        </w:rPr>
        <w:drawing>
          <wp:inline distT="0" distB="0" distL="0" distR="0">
            <wp:extent cx="111760" cy="11176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86" w:name="page87"/>
    <w:bookmarkEnd w:id="86"/>
    <w:p>
      <w:pPr>
        <w:jc w:val="right"/>
        <w:spacing w:after="0"/>
        <w:rPr>
          <w:sz w:val="20"/>
          <w:szCs w:val="20"/>
          <w:color w:val="auto"/>
        </w:rPr>
      </w:pPr>
      <w:r>
        <w:rPr>
          <w:rFonts w:ascii="Arial" w:cs="Arial" w:eastAsia="Arial" w:hAnsi="Arial"/>
          <w:sz w:val="16"/>
          <w:szCs w:val="16"/>
          <w:color w:val="1666AF"/>
        </w:rPr>
        <w:t>Investments</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Portfolio composition and strategy by reporting segment </w:t>
      </w:r>
      <w:r>
        <w:rPr>
          <w:rFonts w:ascii="Arial" w:cs="Arial" w:eastAsia="Arial" w:hAnsi="Arial"/>
          <w:sz w:val="23"/>
          <w:szCs w:val="23"/>
          <w:b w:val="1"/>
          <w:bCs w:val="1"/>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00" w:type="dxa"/>
            <w:vAlign w:val="bottom"/>
            <w:gridSpan w:val="6"/>
          </w:tcPr>
          <w:p>
            <w:pPr>
              <w:ind w:left="40"/>
              <w:spacing w:after="0"/>
              <w:rPr>
                <w:sz w:val="20"/>
                <w:szCs w:val="20"/>
                <w:color w:val="auto"/>
              </w:rPr>
            </w:pPr>
            <w:r>
              <w:rPr>
                <w:rFonts w:ascii="Arial" w:cs="Arial" w:eastAsia="Arial" w:hAnsi="Arial"/>
                <w:sz w:val="16"/>
                <w:szCs w:val="16"/>
                <w:b w:val="1"/>
                <w:bCs w:val="1"/>
                <w:color w:val="auto"/>
                <w:w w:val="90"/>
              </w:rPr>
              <w:t>As of March 31, 2019</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4"/>
        </w:trPr>
        <w:tc>
          <w:tcPr>
            <w:tcW w:w="2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Arial" w:cs="Arial" w:eastAsia="Arial" w:hAnsi="Arial"/>
                <w:sz w:val="16"/>
                <w:szCs w:val="16"/>
                <w:b w:val="1"/>
                <w:bCs w:val="1"/>
                <w:color w:val="auto"/>
              </w:rPr>
              <w:t>Property-</w:t>
            </w:r>
          </w:p>
        </w:tc>
        <w:tc>
          <w:tcPr>
            <w:tcW w:w="200" w:type="dxa"/>
            <w:vAlign w:val="bottom"/>
          </w:tcPr>
          <w:p>
            <w:pPr>
              <w:spacing w:after="0"/>
              <w:rPr>
                <w:sz w:val="21"/>
                <w:szCs w:val="21"/>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Service</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ind w:left="120"/>
              <w:spacing w:after="0"/>
              <w:rPr>
                <w:sz w:val="20"/>
                <w:szCs w:val="20"/>
                <w:color w:val="auto"/>
              </w:rPr>
            </w:pPr>
            <w:r>
              <w:rPr>
                <w:rFonts w:ascii="Arial" w:cs="Arial" w:eastAsia="Arial" w:hAnsi="Arial"/>
                <w:sz w:val="16"/>
                <w:szCs w:val="16"/>
                <w:b w:val="1"/>
                <w:bCs w:val="1"/>
                <w:color w:val="auto"/>
              </w:rPr>
              <w:t>Allstate</w:t>
            </w:r>
          </w:p>
        </w:tc>
        <w:tc>
          <w:tcPr>
            <w:tcW w:w="160" w:type="dxa"/>
            <w:vAlign w:val="bottom"/>
          </w:tcPr>
          <w:p>
            <w:pPr>
              <w:spacing w:after="0"/>
              <w:rPr>
                <w:sz w:val="21"/>
                <w:szCs w:val="21"/>
                <w:color w:val="auto"/>
              </w:rPr>
            </w:pPr>
          </w:p>
        </w:tc>
        <w:tc>
          <w:tcPr>
            <w:tcW w:w="1100" w:type="dxa"/>
            <w:vAlign w:val="bottom"/>
            <w:gridSpan w:val="2"/>
          </w:tcPr>
          <w:p>
            <w:pPr>
              <w:ind w:left="140"/>
              <w:spacing w:after="0"/>
              <w:rPr>
                <w:sz w:val="20"/>
                <w:szCs w:val="20"/>
                <w:color w:val="auto"/>
              </w:rPr>
            </w:pPr>
            <w:r>
              <w:rPr>
                <w:rFonts w:ascii="Arial" w:cs="Arial" w:eastAsia="Arial" w:hAnsi="Arial"/>
                <w:sz w:val="16"/>
                <w:szCs w:val="16"/>
                <w:b w:val="1"/>
                <w:bCs w:val="1"/>
                <w:color w:val="auto"/>
              </w:rPr>
              <w:t>Allstate</w:t>
            </w:r>
          </w:p>
        </w:tc>
        <w:tc>
          <w:tcPr>
            <w:tcW w:w="1300" w:type="dxa"/>
            <w:vAlign w:val="bottom"/>
            <w:gridSpan w:val="3"/>
          </w:tcPr>
          <w:p>
            <w:pPr>
              <w:ind w:left="100"/>
              <w:spacing w:after="0"/>
              <w:rPr>
                <w:sz w:val="20"/>
                <w:szCs w:val="20"/>
                <w:color w:val="auto"/>
              </w:rPr>
            </w:pPr>
            <w:r>
              <w:rPr>
                <w:rFonts w:ascii="Arial" w:cs="Arial" w:eastAsia="Arial" w:hAnsi="Arial"/>
                <w:sz w:val="16"/>
                <w:szCs w:val="16"/>
                <w:b w:val="1"/>
                <w:bCs w:val="1"/>
                <w:color w:val="auto"/>
              </w:rPr>
              <w:t>Corporate and</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37"/>
        </w:trPr>
        <w:tc>
          <w:tcPr>
            <w:tcW w:w="234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160" w:type="dxa"/>
            <w:vAlign w:val="bottom"/>
            <w:tcBorders>
              <w:bottom w:val="single" w:sz="8" w:color="005BA5"/>
            </w:tcBorders>
          </w:tcPr>
          <w:p>
            <w:pPr>
              <w:spacing w:after="0"/>
              <w:rPr>
                <w:sz w:val="20"/>
                <w:szCs w:val="20"/>
                <w:color w:val="auto"/>
              </w:rPr>
            </w:pPr>
          </w:p>
        </w:tc>
        <w:tc>
          <w:tcPr>
            <w:tcW w:w="1000" w:type="dxa"/>
            <w:vAlign w:val="bottom"/>
            <w:tcBorders>
              <w:bottom w:val="single" w:sz="8" w:color="005BA5"/>
            </w:tcBorders>
          </w:tcPr>
          <w:p>
            <w:pPr>
              <w:jc w:val="right"/>
              <w:ind w:right="199"/>
              <w:spacing w:after="0"/>
              <w:rPr>
                <w:sz w:val="20"/>
                <w:szCs w:val="20"/>
                <w:color w:val="auto"/>
              </w:rPr>
            </w:pPr>
            <w:r>
              <w:rPr>
                <w:rFonts w:ascii="Arial" w:cs="Arial" w:eastAsia="Arial" w:hAnsi="Arial"/>
                <w:sz w:val="16"/>
                <w:szCs w:val="16"/>
                <w:b w:val="1"/>
                <w:bCs w:val="1"/>
                <w:color w:val="auto"/>
              </w:rPr>
              <w:t>Liability</w:t>
            </w:r>
          </w:p>
        </w:tc>
        <w:tc>
          <w:tcPr>
            <w:tcW w:w="100" w:type="dxa"/>
            <w:vAlign w:val="bottom"/>
          </w:tcPr>
          <w:p>
            <w:pPr>
              <w:spacing w:after="0"/>
              <w:rPr>
                <w:sz w:val="20"/>
                <w:szCs w:val="20"/>
                <w:color w:val="auto"/>
              </w:rPr>
            </w:pPr>
          </w:p>
        </w:tc>
        <w:tc>
          <w:tcPr>
            <w:tcW w:w="200" w:type="dxa"/>
            <w:vAlign w:val="bottom"/>
            <w:tcBorders>
              <w:bottom w:val="single" w:sz="8" w:color="005BA5"/>
            </w:tcBorders>
          </w:tcPr>
          <w:p>
            <w:pPr>
              <w:spacing w:after="0"/>
              <w:rPr>
                <w:sz w:val="20"/>
                <w:szCs w:val="20"/>
                <w:color w:val="auto"/>
              </w:rPr>
            </w:pPr>
          </w:p>
        </w:tc>
        <w:tc>
          <w:tcPr>
            <w:tcW w:w="1100" w:type="dxa"/>
            <w:vAlign w:val="bottom"/>
            <w:tcBorders>
              <w:bottom w:val="single" w:sz="8" w:color="005BA5"/>
            </w:tcBorders>
          </w:tcPr>
          <w:p>
            <w:pPr>
              <w:jc w:val="right"/>
              <w:ind w:right="199"/>
              <w:spacing w:after="0"/>
              <w:rPr>
                <w:sz w:val="20"/>
                <w:szCs w:val="20"/>
                <w:color w:val="auto"/>
              </w:rPr>
            </w:pPr>
            <w:r>
              <w:rPr>
                <w:rFonts w:ascii="Arial" w:cs="Arial" w:eastAsia="Arial" w:hAnsi="Arial"/>
                <w:sz w:val="16"/>
                <w:szCs w:val="16"/>
                <w:b w:val="1"/>
                <w:bCs w:val="1"/>
                <w:color w:val="auto"/>
                <w:w w:val="89"/>
              </w:rPr>
              <w:t>Businesses</w:t>
            </w:r>
          </w:p>
        </w:tc>
        <w:tc>
          <w:tcPr>
            <w:tcW w:w="100" w:type="dxa"/>
            <w:vAlign w:val="bottom"/>
          </w:tcPr>
          <w:p>
            <w:pPr>
              <w:spacing w:after="0"/>
              <w:rPr>
                <w:sz w:val="20"/>
                <w:szCs w:val="20"/>
                <w:color w:val="auto"/>
              </w:rPr>
            </w:pPr>
          </w:p>
        </w:tc>
        <w:tc>
          <w:tcPr>
            <w:tcW w:w="140" w:type="dxa"/>
            <w:vAlign w:val="bottom"/>
            <w:tcBorders>
              <w:bottom w:val="single" w:sz="8" w:color="005BA5"/>
            </w:tcBorders>
          </w:tcPr>
          <w:p>
            <w:pPr>
              <w:spacing w:after="0"/>
              <w:rPr>
                <w:sz w:val="20"/>
                <w:szCs w:val="20"/>
                <w:color w:val="auto"/>
              </w:rPr>
            </w:pPr>
          </w:p>
        </w:tc>
        <w:tc>
          <w:tcPr>
            <w:tcW w:w="920" w:type="dxa"/>
            <w:vAlign w:val="bottom"/>
            <w:tcBorders>
              <w:bottom w:val="single" w:sz="8" w:color="005BA5"/>
            </w:tcBorders>
          </w:tcPr>
          <w:p>
            <w:pPr>
              <w:jc w:val="right"/>
              <w:spacing w:after="0"/>
              <w:rPr>
                <w:sz w:val="20"/>
                <w:szCs w:val="20"/>
                <w:color w:val="auto"/>
              </w:rPr>
            </w:pPr>
            <w:r>
              <w:rPr>
                <w:rFonts w:ascii="Arial" w:cs="Arial" w:eastAsia="Arial" w:hAnsi="Arial"/>
                <w:sz w:val="16"/>
                <w:szCs w:val="16"/>
                <w:b w:val="1"/>
                <w:bCs w:val="1"/>
                <w:color w:val="auto"/>
                <w:w w:val="94"/>
              </w:rPr>
              <w:t>Allstate Life</w:t>
            </w:r>
          </w:p>
        </w:tc>
        <w:tc>
          <w:tcPr>
            <w:tcW w:w="100" w:type="dxa"/>
            <w:vAlign w:val="bottom"/>
            <w:tcBorders>
              <w:bottom w:val="single" w:sz="8" w:color="005BA5"/>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005BA5"/>
            </w:tcBorders>
          </w:tcPr>
          <w:p>
            <w:pPr>
              <w:spacing w:after="0"/>
              <w:rPr>
                <w:sz w:val="20"/>
                <w:szCs w:val="20"/>
                <w:color w:val="auto"/>
              </w:rPr>
            </w:pPr>
          </w:p>
        </w:tc>
        <w:tc>
          <w:tcPr>
            <w:tcW w:w="960" w:type="dxa"/>
            <w:vAlign w:val="bottom"/>
            <w:tcBorders>
              <w:bottom w:val="single" w:sz="8" w:color="005BA5"/>
            </w:tcBorders>
          </w:tcPr>
          <w:p>
            <w:pPr>
              <w:jc w:val="right"/>
              <w:ind w:right="219"/>
              <w:spacing w:after="0"/>
              <w:rPr>
                <w:sz w:val="20"/>
                <w:szCs w:val="20"/>
                <w:color w:val="auto"/>
              </w:rPr>
            </w:pPr>
            <w:r>
              <w:rPr>
                <w:rFonts w:ascii="Arial" w:cs="Arial" w:eastAsia="Arial" w:hAnsi="Arial"/>
                <w:sz w:val="16"/>
                <w:szCs w:val="16"/>
                <w:b w:val="1"/>
                <w:bCs w:val="1"/>
                <w:color w:val="auto"/>
              </w:rPr>
              <w:t>Benefits</w:t>
            </w:r>
          </w:p>
        </w:tc>
        <w:tc>
          <w:tcPr>
            <w:tcW w:w="100" w:type="dxa"/>
            <w:vAlign w:val="bottom"/>
          </w:tcPr>
          <w:p>
            <w:pPr>
              <w:spacing w:after="0"/>
              <w:rPr>
                <w:sz w:val="20"/>
                <w:szCs w:val="20"/>
                <w:color w:val="auto"/>
              </w:rPr>
            </w:pPr>
          </w:p>
        </w:tc>
        <w:tc>
          <w:tcPr>
            <w:tcW w:w="20" w:type="dxa"/>
            <w:vAlign w:val="bottom"/>
            <w:tcBorders>
              <w:bottom w:val="single" w:sz="8" w:color="005BA5"/>
            </w:tcBorders>
          </w:tcPr>
          <w:p>
            <w:pPr>
              <w:spacing w:after="0"/>
              <w:rPr>
                <w:sz w:val="20"/>
                <w:szCs w:val="20"/>
                <w:color w:val="auto"/>
              </w:rPr>
            </w:pPr>
          </w:p>
        </w:tc>
        <w:tc>
          <w:tcPr>
            <w:tcW w:w="160" w:type="dxa"/>
            <w:vAlign w:val="bottom"/>
            <w:tcBorders>
              <w:bottom w:val="single" w:sz="8" w:color="005BA5"/>
            </w:tcBorders>
          </w:tcPr>
          <w:p>
            <w:pPr>
              <w:spacing w:after="0"/>
              <w:rPr>
                <w:sz w:val="20"/>
                <w:szCs w:val="20"/>
                <w:color w:val="auto"/>
              </w:rPr>
            </w:pPr>
          </w:p>
        </w:tc>
        <w:tc>
          <w:tcPr>
            <w:tcW w:w="1000" w:type="dxa"/>
            <w:vAlign w:val="bottom"/>
            <w:tcBorders>
              <w:bottom w:val="single" w:sz="8" w:color="005BA5"/>
            </w:tcBorders>
          </w:tcPr>
          <w:p>
            <w:pPr>
              <w:jc w:val="right"/>
              <w:ind w:right="179"/>
              <w:spacing w:after="0"/>
              <w:rPr>
                <w:sz w:val="20"/>
                <w:szCs w:val="20"/>
                <w:color w:val="auto"/>
              </w:rPr>
            </w:pPr>
            <w:r>
              <w:rPr>
                <w:rFonts w:ascii="Arial" w:cs="Arial" w:eastAsia="Arial" w:hAnsi="Arial"/>
                <w:sz w:val="16"/>
                <w:szCs w:val="16"/>
                <w:b w:val="1"/>
                <w:bCs w:val="1"/>
                <w:color w:val="auto"/>
                <w:w w:val="98"/>
              </w:rPr>
              <w:t>Annuities</w:t>
            </w:r>
          </w:p>
        </w:tc>
        <w:tc>
          <w:tcPr>
            <w:tcW w:w="100" w:type="dxa"/>
            <w:vAlign w:val="bottom"/>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940" w:type="dxa"/>
            <w:vAlign w:val="bottom"/>
            <w:tcBorders>
              <w:bottom w:val="single" w:sz="8" w:color="005BA5"/>
            </w:tcBorders>
          </w:tcPr>
          <w:p>
            <w:pPr>
              <w:jc w:val="right"/>
              <w:ind w:right="319"/>
              <w:spacing w:after="0"/>
              <w:rPr>
                <w:sz w:val="20"/>
                <w:szCs w:val="20"/>
                <w:color w:val="auto"/>
              </w:rPr>
            </w:pPr>
            <w:r>
              <w:rPr>
                <w:rFonts w:ascii="Arial" w:cs="Arial" w:eastAsia="Arial" w:hAnsi="Arial"/>
                <w:sz w:val="16"/>
                <w:szCs w:val="16"/>
                <w:b w:val="1"/>
                <w:bCs w:val="1"/>
                <w:color w:val="auto"/>
              </w:rPr>
              <w:t>Other</w:t>
            </w:r>
          </w:p>
        </w:tc>
        <w:tc>
          <w:tcPr>
            <w:tcW w:w="100" w:type="dxa"/>
            <w:vAlign w:val="bottom"/>
          </w:tcPr>
          <w:p>
            <w:pPr>
              <w:spacing w:after="0"/>
              <w:rPr>
                <w:sz w:val="20"/>
                <w:szCs w:val="20"/>
                <w:color w:val="auto"/>
              </w:rPr>
            </w:pPr>
          </w:p>
        </w:tc>
        <w:tc>
          <w:tcPr>
            <w:tcW w:w="260" w:type="dxa"/>
            <w:vAlign w:val="bottom"/>
            <w:tcBorders>
              <w:bottom w:val="single" w:sz="8" w:color="005BA5"/>
            </w:tcBorders>
          </w:tcPr>
          <w:p>
            <w:pPr>
              <w:spacing w:after="0"/>
              <w:rPr>
                <w:sz w:val="20"/>
                <w:szCs w:val="20"/>
                <w:color w:val="auto"/>
              </w:rPr>
            </w:pPr>
          </w:p>
        </w:tc>
        <w:tc>
          <w:tcPr>
            <w:tcW w:w="920" w:type="dxa"/>
            <w:vAlign w:val="bottom"/>
            <w:tcBorders>
              <w:bottom w:val="single" w:sz="8" w:color="005BA5"/>
            </w:tcBorders>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256"/>
        </w:trPr>
        <w:tc>
          <w:tcPr>
            <w:tcW w:w="2340" w:type="dxa"/>
            <w:vAlign w:val="bottom"/>
            <w:tcBorders>
              <w:bottom w:val="single" w:sz="8" w:color="ACACAC"/>
            </w:tcBorders>
          </w:tcPr>
          <w:p>
            <w:pPr>
              <w:ind w:left="40"/>
              <w:spacing w:after="0" w:line="255" w:lineRule="exact"/>
              <w:rPr>
                <w:sz w:val="20"/>
                <w:szCs w:val="20"/>
                <w:color w:val="auto"/>
              </w:rPr>
            </w:pPr>
            <w:r>
              <w:rPr>
                <w:rFonts w:ascii="Arial" w:cs="Arial" w:eastAsia="Arial" w:hAnsi="Arial"/>
                <w:sz w:val="16"/>
                <w:szCs w:val="16"/>
                <w:color w:val="auto"/>
              </w:rPr>
              <w:t xml:space="preserve">Fixed income securities </w:t>
            </w:r>
            <w:r>
              <w:rPr>
                <w:rFonts w:ascii="Arial" w:cs="Arial" w:eastAsia="Arial" w:hAnsi="Arial"/>
                <w:sz w:val="27"/>
                <w:szCs w:val="27"/>
                <w:color w:val="005BA5"/>
                <w:vertAlign w:val="superscript"/>
              </w:rPr>
              <w:t>(2)</w:t>
            </w:r>
          </w:p>
        </w:tc>
        <w:tc>
          <w:tcPr>
            <w:tcW w:w="120" w:type="dxa"/>
            <w:vAlign w:val="bottom"/>
          </w:tcPr>
          <w:p>
            <w:pPr>
              <w:spacing w:after="0"/>
              <w:rPr>
                <w:sz w:val="22"/>
                <w:szCs w:val="22"/>
                <w:color w:val="auto"/>
              </w:rPr>
            </w:pPr>
          </w:p>
        </w:tc>
        <w:tc>
          <w:tcPr>
            <w:tcW w:w="1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32,134</w:t>
            </w:r>
          </w:p>
        </w:tc>
        <w:tc>
          <w:tcPr>
            <w:tcW w:w="100" w:type="dxa"/>
            <w:vAlign w:val="bottom"/>
          </w:tcPr>
          <w:p>
            <w:pPr>
              <w:spacing w:after="0"/>
              <w:rPr>
                <w:sz w:val="22"/>
                <w:szCs w:val="22"/>
                <w:color w:val="auto"/>
              </w:rPr>
            </w:pPr>
          </w:p>
        </w:tc>
        <w:tc>
          <w:tcPr>
            <w:tcW w:w="20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1,048</w:t>
            </w:r>
          </w:p>
        </w:tc>
        <w:tc>
          <w:tcPr>
            <w:tcW w:w="100" w:type="dxa"/>
            <w:vAlign w:val="bottom"/>
          </w:tcPr>
          <w:p>
            <w:pPr>
              <w:spacing w:after="0"/>
              <w:rPr>
                <w:sz w:val="22"/>
                <w:szCs w:val="22"/>
                <w:color w:val="auto"/>
              </w:rPr>
            </w:pPr>
          </w:p>
        </w:tc>
        <w:tc>
          <w:tcPr>
            <w:tcW w:w="14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7,571</w:t>
            </w:r>
          </w:p>
        </w:tc>
        <w:tc>
          <w:tcPr>
            <w:tcW w:w="100" w:type="dxa"/>
            <w:vAlign w:val="bottom"/>
            <w:tcBorders>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CACAC"/>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22"/>
                <w:szCs w:val="22"/>
                <w:color w:val="auto"/>
              </w:rPr>
            </w:pPr>
          </w:p>
        </w:tc>
        <w:tc>
          <w:tcPr>
            <w:tcW w:w="20" w:type="dxa"/>
            <w:vAlign w:val="bottom"/>
            <w:tcBorders>
              <w:bottom w:val="single" w:sz="8" w:color="ACACAC"/>
            </w:tcBorders>
          </w:tcPr>
          <w:p>
            <w:pPr>
              <w:spacing w:after="0"/>
              <w:rPr>
                <w:sz w:val="22"/>
                <w:szCs w:val="22"/>
                <w:color w:val="auto"/>
              </w:rPr>
            </w:pPr>
          </w:p>
        </w:tc>
        <w:tc>
          <w:tcPr>
            <w:tcW w:w="16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CACAC"/>
            </w:tcBorders>
          </w:tcPr>
          <w:p>
            <w:pPr>
              <w:jc w:val="right"/>
              <w:ind w:right="99"/>
              <w:spacing w:after="0"/>
              <w:rPr>
                <w:sz w:val="20"/>
                <w:szCs w:val="20"/>
                <w:color w:val="auto"/>
              </w:rPr>
            </w:pPr>
            <w:r>
              <w:rPr>
                <w:rFonts w:ascii="Arial" w:cs="Arial" w:eastAsia="Arial" w:hAnsi="Arial"/>
                <w:sz w:val="16"/>
                <w:szCs w:val="16"/>
                <w:color w:val="auto"/>
              </w:rPr>
              <w:t>14,243</w:t>
            </w:r>
          </w:p>
        </w:tc>
        <w:tc>
          <w:tcPr>
            <w:tcW w:w="100" w:type="dxa"/>
            <w:vAlign w:val="bottom"/>
          </w:tcPr>
          <w:p>
            <w:pPr>
              <w:spacing w:after="0"/>
              <w:rPr>
                <w:sz w:val="22"/>
                <w:szCs w:val="22"/>
                <w:color w:val="auto"/>
              </w:rPr>
            </w:pPr>
          </w:p>
        </w:tc>
        <w:tc>
          <w:tcPr>
            <w:tcW w:w="260" w:type="dxa"/>
            <w:vAlign w:val="bottom"/>
            <w:tcBorders>
              <w:bottom w:val="single" w:sz="8" w:color="ACACAC"/>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1,953</w:t>
            </w:r>
          </w:p>
        </w:tc>
        <w:tc>
          <w:tcPr>
            <w:tcW w:w="100" w:type="dxa"/>
            <w:vAlign w:val="bottom"/>
          </w:tcPr>
          <w:p>
            <w:pPr>
              <w:spacing w:after="0"/>
              <w:rPr>
                <w:sz w:val="22"/>
                <w:szCs w:val="22"/>
                <w:color w:val="auto"/>
              </w:rPr>
            </w:pPr>
          </w:p>
        </w:tc>
        <w:tc>
          <w:tcPr>
            <w:tcW w:w="260" w:type="dxa"/>
            <w:vAlign w:val="bottom"/>
            <w:tcBorders>
              <w:bottom w:val="single" w:sz="8" w:color="ACACAC"/>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CACAC"/>
            </w:tcBorders>
          </w:tcPr>
          <w:p>
            <w:pPr>
              <w:jc w:val="right"/>
              <w:ind w:right="99"/>
              <w:spacing w:after="0"/>
              <w:rPr>
                <w:sz w:val="20"/>
                <w:szCs w:val="20"/>
                <w:color w:val="auto"/>
              </w:rPr>
            </w:pPr>
            <w:r>
              <w:rPr>
                <w:rFonts w:ascii="Arial" w:cs="Arial" w:eastAsia="Arial" w:hAnsi="Arial"/>
                <w:sz w:val="16"/>
                <w:szCs w:val="16"/>
                <w:color w:val="auto"/>
              </w:rPr>
              <w:t>58,202</w:t>
            </w:r>
          </w:p>
        </w:tc>
      </w:tr>
      <w:tr>
        <w:trPr>
          <w:trHeight w:val="250"/>
        </w:trPr>
        <w:tc>
          <w:tcPr>
            <w:tcW w:w="234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Equity securities </w:t>
            </w:r>
            <w:r>
              <w:rPr>
                <w:rFonts w:ascii="Arial" w:cs="Arial" w:eastAsia="Arial" w:hAnsi="Arial"/>
                <w:sz w:val="27"/>
                <w:szCs w:val="27"/>
                <w:color w:val="005BA5"/>
                <w:vertAlign w:val="superscript"/>
              </w:rPr>
              <w:t>(3)</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00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4,182</w:t>
            </w:r>
          </w:p>
        </w:tc>
        <w:tc>
          <w:tcPr>
            <w:tcW w:w="10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110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9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96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000" w:type="dxa"/>
            <w:vAlign w:val="bottom"/>
            <w:tcBorders>
              <w:bottom w:val="single" w:sz="8" w:color="ACACAC"/>
            </w:tcBorders>
          </w:tcPr>
          <w:p>
            <w:pPr>
              <w:jc w:val="right"/>
              <w:ind w:right="99"/>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21"/>
                <w:szCs w:val="21"/>
                <w:color w:val="auto"/>
              </w:rPr>
            </w:pPr>
          </w:p>
        </w:tc>
        <w:tc>
          <w:tcPr>
            <w:tcW w:w="260" w:type="dxa"/>
            <w:vAlign w:val="bottom"/>
            <w:tcBorders>
              <w:bottom w:val="single" w:sz="8" w:color="ACACAC"/>
            </w:tcBorders>
          </w:tcPr>
          <w:p>
            <w:pPr>
              <w:spacing w:after="0"/>
              <w:rPr>
                <w:sz w:val="21"/>
                <w:szCs w:val="21"/>
                <w:color w:val="auto"/>
              </w:rPr>
            </w:pPr>
          </w:p>
        </w:tc>
        <w:tc>
          <w:tcPr>
            <w:tcW w:w="94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1"/>
                <w:szCs w:val="21"/>
                <w:color w:val="auto"/>
              </w:rPr>
            </w:pPr>
          </w:p>
        </w:tc>
        <w:tc>
          <w:tcPr>
            <w:tcW w:w="260" w:type="dxa"/>
            <w:vAlign w:val="bottom"/>
            <w:tcBorders>
              <w:bottom w:val="single" w:sz="8" w:color="ACACAC"/>
            </w:tcBorders>
          </w:tcPr>
          <w:p>
            <w:pPr>
              <w:spacing w:after="0"/>
              <w:rPr>
                <w:sz w:val="21"/>
                <w:szCs w:val="21"/>
                <w:color w:val="auto"/>
              </w:rPr>
            </w:pPr>
          </w:p>
        </w:tc>
        <w:tc>
          <w:tcPr>
            <w:tcW w:w="920" w:type="dxa"/>
            <w:vAlign w:val="bottom"/>
            <w:tcBorders>
              <w:bottom w:val="single" w:sz="8" w:color="ACACAC"/>
            </w:tcBorders>
          </w:tcPr>
          <w:p>
            <w:pPr>
              <w:jc w:val="right"/>
              <w:ind w:right="99"/>
              <w:spacing w:after="0"/>
              <w:rPr>
                <w:sz w:val="20"/>
                <w:szCs w:val="20"/>
                <w:color w:val="auto"/>
              </w:rPr>
            </w:pPr>
            <w:r>
              <w:rPr>
                <w:rFonts w:ascii="Arial" w:cs="Arial" w:eastAsia="Arial" w:hAnsi="Arial"/>
                <w:sz w:val="16"/>
                <w:szCs w:val="16"/>
                <w:color w:val="auto"/>
              </w:rPr>
              <w:t>5,802</w:t>
            </w:r>
          </w:p>
        </w:tc>
      </w:tr>
      <w:tr>
        <w:trPr>
          <w:trHeight w:val="21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Mortgage loans</w:t>
            </w:r>
          </w:p>
        </w:tc>
        <w:tc>
          <w:tcPr>
            <w:tcW w:w="16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2,238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4,681</w:t>
            </w:r>
          </w:p>
        </w:tc>
      </w:tr>
      <w:tr>
        <w:trPr>
          <w:trHeight w:val="33"/>
        </w:trPr>
        <w:tc>
          <w:tcPr>
            <w:tcW w:w="2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CACAC"/>
            </w:tcBorders>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r>
      <w:tr>
        <w:trPr>
          <w:trHeight w:val="21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Limited partnership interests</w:t>
            </w:r>
          </w:p>
        </w:tc>
        <w:tc>
          <w:tcPr>
            <w:tcW w:w="16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4,288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3,205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7,493</w:t>
            </w:r>
          </w:p>
        </w:tc>
      </w:tr>
      <w:tr>
        <w:trPr>
          <w:trHeight w:val="33"/>
        </w:trPr>
        <w:tc>
          <w:tcPr>
            <w:tcW w:w="2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CACAC"/>
            </w:tcBorders>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r>
      <w:tr>
        <w:trPr>
          <w:trHeight w:val="250"/>
        </w:trPr>
        <w:tc>
          <w:tcPr>
            <w:tcW w:w="2340" w:type="dxa"/>
            <w:vAlign w:val="bottom"/>
            <w:tcBorders>
              <w:bottom w:val="single" w:sz="8" w:color="ACACAC"/>
            </w:tcBorders>
          </w:tcPr>
          <w:p>
            <w:pPr>
              <w:ind w:left="40"/>
              <w:spacing w:after="0" w:line="250" w:lineRule="exact"/>
              <w:rPr>
                <w:sz w:val="20"/>
                <w:szCs w:val="20"/>
                <w:color w:val="auto"/>
              </w:rPr>
            </w:pPr>
            <w:r>
              <w:rPr>
                <w:rFonts w:ascii="Arial" w:cs="Arial" w:eastAsia="Arial" w:hAnsi="Arial"/>
                <w:sz w:val="16"/>
                <w:szCs w:val="16"/>
                <w:color w:val="auto"/>
              </w:rPr>
              <w:t xml:space="preserve">Short-term investments </w:t>
            </w:r>
            <w:r>
              <w:rPr>
                <w:rFonts w:ascii="Arial" w:cs="Arial" w:eastAsia="Arial" w:hAnsi="Arial"/>
                <w:sz w:val="27"/>
                <w:szCs w:val="27"/>
                <w:color w:val="005BA5"/>
                <w:vertAlign w:val="superscript"/>
              </w:rPr>
              <w:t>(4)</w:t>
            </w:r>
          </w:p>
        </w:tc>
        <w:tc>
          <w:tcPr>
            <w:tcW w:w="120" w:type="dxa"/>
            <w:vAlign w:val="bottom"/>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00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2,325</w:t>
            </w:r>
          </w:p>
        </w:tc>
        <w:tc>
          <w:tcPr>
            <w:tcW w:w="10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110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1"/>
                <w:szCs w:val="21"/>
                <w:color w:val="auto"/>
              </w:rPr>
            </w:pPr>
          </w:p>
        </w:tc>
        <w:tc>
          <w:tcPr>
            <w:tcW w:w="140" w:type="dxa"/>
            <w:vAlign w:val="bottom"/>
            <w:tcBorders>
              <w:bottom w:val="single" w:sz="8" w:color="ACACAC"/>
            </w:tcBorders>
          </w:tcPr>
          <w:p>
            <w:pPr>
              <w:spacing w:after="0"/>
              <w:rPr>
                <w:sz w:val="21"/>
                <w:szCs w:val="21"/>
                <w:color w:val="auto"/>
              </w:rPr>
            </w:pPr>
          </w:p>
        </w:tc>
        <w:tc>
          <w:tcPr>
            <w:tcW w:w="920" w:type="dxa"/>
            <w:vAlign w:val="bottom"/>
            <w:tcBorders>
              <w:bottom w:val="single" w:sz="8" w:color="ACACAC"/>
            </w:tcBorders>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Borders>
              <w:bottom w:val="single" w:sz="8" w:color="ACACAC"/>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CACAC"/>
            </w:tcBorders>
          </w:tcPr>
          <w:p>
            <w:pPr>
              <w:spacing w:after="0"/>
              <w:rPr>
                <w:sz w:val="21"/>
                <w:szCs w:val="21"/>
                <w:color w:val="auto"/>
              </w:rPr>
            </w:pPr>
          </w:p>
        </w:tc>
        <w:tc>
          <w:tcPr>
            <w:tcW w:w="96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c>
          <w:tcPr>
            <w:tcW w:w="20" w:type="dxa"/>
            <w:vAlign w:val="bottom"/>
            <w:tcBorders>
              <w:bottom w:val="single" w:sz="8" w:color="ACACAC"/>
            </w:tcBorders>
          </w:tcPr>
          <w:p>
            <w:pPr>
              <w:spacing w:after="0"/>
              <w:rPr>
                <w:sz w:val="21"/>
                <w:szCs w:val="21"/>
                <w:color w:val="auto"/>
              </w:rPr>
            </w:pPr>
          </w:p>
        </w:tc>
        <w:tc>
          <w:tcPr>
            <w:tcW w:w="160" w:type="dxa"/>
            <w:vAlign w:val="bottom"/>
            <w:tcBorders>
              <w:bottom w:val="single" w:sz="8" w:color="ACACAC"/>
            </w:tcBorders>
          </w:tcPr>
          <w:p>
            <w:pPr>
              <w:spacing w:after="0"/>
              <w:rPr>
                <w:sz w:val="21"/>
                <w:szCs w:val="21"/>
                <w:color w:val="auto"/>
              </w:rPr>
            </w:pPr>
          </w:p>
        </w:tc>
        <w:tc>
          <w:tcPr>
            <w:tcW w:w="1000" w:type="dxa"/>
            <w:vAlign w:val="bottom"/>
            <w:tcBorders>
              <w:bottom w:val="single" w:sz="8" w:color="ACACAC"/>
            </w:tcBorders>
          </w:tcPr>
          <w:p>
            <w:pPr>
              <w:jc w:val="right"/>
              <w:ind w:right="99"/>
              <w:spacing w:after="0"/>
              <w:rPr>
                <w:sz w:val="20"/>
                <w:szCs w:val="20"/>
                <w:color w:val="auto"/>
              </w:rPr>
            </w:pPr>
            <w:r>
              <w:rPr>
                <w:rFonts w:ascii="Arial" w:cs="Arial" w:eastAsia="Arial" w:hAnsi="Arial"/>
                <w:sz w:val="16"/>
                <w:szCs w:val="16"/>
                <w:color w:val="auto"/>
              </w:rPr>
              <w:t>913</w:t>
            </w:r>
          </w:p>
        </w:tc>
        <w:tc>
          <w:tcPr>
            <w:tcW w:w="100" w:type="dxa"/>
            <w:vAlign w:val="bottom"/>
          </w:tcPr>
          <w:p>
            <w:pPr>
              <w:spacing w:after="0"/>
              <w:rPr>
                <w:sz w:val="21"/>
                <w:szCs w:val="21"/>
                <w:color w:val="auto"/>
              </w:rPr>
            </w:pPr>
          </w:p>
        </w:tc>
        <w:tc>
          <w:tcPr>
            <w:tcW w:w="260" w:type="dxa"/>
            <w:vAlign w:val="bottom"/>
            <w:tcBorders>
              <w:bottom w:val="single" w:sz="8" w:color="ACACAC"/>
            </w:tcBorders>
          </w:tcPr>
          <w:p>
            <w:pPr>
              <w:spacing w:after="0"/>
              <w:rPr>
                <w:sz w:val="21"/>
                <w:szCs w:val="21"/>
                <w:color w:val="auto"/>
              </w:rPr>
            </w:pPr>
          </w:p>
        </w:tc>
        <w:tc>
          <w:tcPr>
            <w:tcW w:w="940" w:type="dxa"/>
            <w:vAlign w:val="bottom"/>
            <w:tcBorders>
              <w:bottom w:val="single" w:sz="8" w:color="ACACAC"/>
            </w:tcBorders>
          </w:tcPr>
          <w:p>
            <w:pPr>
              <w:jc w:val="right"/>
              <w:ind w:right="119"/>
              <w:spacing w:after="0"/>
              <w:rPr>
                <w:sz w:val="20"/>
                <w:szCs w:val="20"/>
                <w:color w:val="auto"/>
              </w:rPr>
            </w:pPr>
            <w:r>
              <w:rPr>
                <w:rFonts w:ascii="Arial" w:cs="Arial" w:eastAsia="Arial" w:hAnsi="Arial"/>
                <w:sz w:val="16"/>
                <w:szCs w:val="16"/>
                <w:color w:val="auto"/>
              </w:rPr>
              <w:t>369</w:t>
            </w:r>
          </w:p>
        </w:tc>
        <w:tc>
          <w:tcPr>
            <w:tcW w:w="100" w:type="dxa"/>
            <w:vAlign w:val="bottom"/>
          </w:tcPr>
          <w:p>
            <w:pPr>
              <w:spacing w:after="0"/>
              <w:rPr>
                <w:sz w:val="21"/>
                <w:szCs w:val="21"/>
                <w:color w:val="auto"/>
              </w:rPr>
            </w:pPr>
          </w:p>
        </w:tc>
        <w:tc>
          <w:tcPr>
            <w:tcW w:w="260" w:type="dxa"/>
            <w:vAlign w:val="bottom"/>
            <w:tcBorders>
              <w:bottom w:val="single" w:sz="8" w:color="ACACAC"/>
            </w:tcBorders>
          </w:tcPr>
          <w:p>
            <w:pPr>
              <w:spacing w:after="0"/>
              <w:rPr>
                <w:sz w:val="21"/>
                <w:szCs w:val="21"/>
                <w:color w:val="auto"/>
              </w:rPr>
            </w:pPr>
          </w:p>
        </w:tc>
        <w:tc>
          <w:tcPr>
            <w:tcW w:w="920" w:type="dxa"/>
            <w:vAlign w:val="bottom"/>
            <w:tcBorders>
              <w:bottom w:val="single" w:sz="8" w:color="ACACAC"/>
            </w:tcBorders>
          </w:tcPr>
          <w:p>
            <w:pPr>
              <w:jc w:val="right"/>
              <w:ind w:right="99"/>
              <w:spacing w:after="0"/>
              <w:rPr>
                <w:sz w:val="20"/>
                <w:szCs w:val="20"/>
                <w:color w:val="auto"/>
              </w:rPr>
            </w:pPr>
            <w:r>
              <w:rPr>
                <w:rFonts w:ascii="Arial" w:cs="Arial" w:eastAsia="Arial" w:hAnsi="Arial"/>
                <w:sz w:val="16"/>
                <w:szCs w:val="16"/>
                <w:color w:val="auto"/>
              </w:rPr>
              <w:t>4,157</w:t>
            </w:r>
          </w:p>
        </w:tc>
      </w:tr>
      <w:tr>
        <w:trPr>
          <w:trHeight w:val="21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1,521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3,786</w:t>
            </w:r>
          </w:p>
        </w:tc>
      </w:tr>
      <w:tr>
        <w:trPr>
          <w:trHeight w:val="33"/>
        </w:trPr>
        <w:tc>
          <w:tcPr>
            <w:tcW w:w="23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005BA5"/>
            </w:tcBorders>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r>
      <w:tr>
        <w:trPr>
          <w:trHeight w:val="217"/>
        </w:trPr>
        <w:tc>
          <w:tcPr>
            <w:tcW w:w="246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44,810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1,318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11,216</w:t>
            </w:r>
          </w:p>
        </w:tc>
        <w:tc>
          <w:tcPr>
            <w:tcW w:w="4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1,900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22,523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2,354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84,121</w:t>
            </w:r>
          </w:p>
        </w:tc>
      </w:tr>
      <w:tr>
        <w:trPr>
          <w:trHeight w:val="33"/>
        </w:trPr>
        <w:tc>
          <w:tcPr>
            <w:tcW w:w="23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005BA5"/>
            </w:tcBorders>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r>
      <w:tr>
        <w:trPr>
          <w:trHeight w:val="352"/>
        </w:trPr>
        <w:tc>
          <w:tcPr>
            <w:tcW w:w="2460" w:type="dxa"/>
            <w:vAlign w:val="bottom"/>
            <w:gridSpan w:val="2"/>
          </w:tcPr>
          <w:p>
            <w:pPr>
              <w:ind w:left="40"/>
              <w:spacing w:after="0"/>
              <w:rPr>
                <w:sz w:val="20"/>
                <w:szCs w:val="20"/>
                <w:color w:val="auto"/>
              </w:rPr>
            </w:pPr>
            <w:r>
              <w:rPr>
                <w:rFonts w:ascii="Arial" w:cs="Arial" w:eastAsia="Arial" w:hAnsi="Arial"/>
                <w:sz w:val="16"/>
                <w:szCs w:val="16"/>
                <w:b w:val="1"/>
                <w:bCs w:val="1"/>
                <w:color w:val="auto"/>
              </w:rPr>
              <w:t>Percent to total</w:t>
            </w: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rPr>
              <w:t>13.3%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26.8%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r>
      <w:tr>
        <w:trPr>
          <w:trHeight w:val="303"/>
        </w:trPr>
        <w:tc>
          <w:tcPr>
            <w:tcW w:w="2340" w:type="dxa"/>
            <w:vAlign w:val="bottom"/>
            <w:tcBorders>
              <w:bottom w:val="single" w:sz="8" w:color="ACACAC"/>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CACAC"/>
            </w:tcBorders>
          </w:tcPr>
          <w:p>
            <w:pPr>
              <w:spacing w:after="0"/>
              <w:rPr>
                <w:sz w:val="24"/>
                <w:szCs w:val="24"/>
                <w:color w:val="auto"/>
              </w:rPr>
            </w:pPr>
          </w:p>
        </w:tc>
        <w:tc>
          <w:tcPr>
            <w:tcW w:w="1000" w:type="dxa"/>
            <w:vAlign w:val="bottom"/>
            <w:tcBorders>
              <w:bottom w:val="single" w:sz="8" w:color="ACACAC"/>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CACAC"/>
            </w:tcBorders>
          </w:tcPr>
          <w:p>
            <w:pPr>
              <w:spacing w:after="0"/>
              <w:rPr>
                <w:sz w:val="24"/>
                <w:szCs w:val="24"/>
                <w:color w:val="auto"/>
              </w:rPr>
            </w:pPr>
          </w:p>
        </w:tc>
        <w:tc>
          <w:tcPr>
            <w:tcW w:w="1100" w:type="dxa"/>
            <w:vAlign w:val="bottom"/>
            <w:tcBorders>
              <w:bottom w:val="single" w:sz="8" w:color="ACACAC"/>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CACAC"/>
            </w:tcBorders>
          </w:tcPr>
          <w:p>
            <w:pPr>
              <w:spacing w:after="0"/>
              <w:rPr>
                <w:sz w:val="24"/>
                <w:szCs w:val="24"/>
                <w:color w:val="auto"/>
              </w:rPr>
            </w:pPr>
          </w:p>
        </w:tc>
        <w:tc>
          <w:tcPr>
            <w:tcW w:w="920" w:type="dxa"/>
            <w:vAlign w:val="bottom"/>
            <w:tcBorders>
              <w:bottom w:val="single" w:sz="8" w:color="ACACAC"/>
            </w:tcBorders>
          </w:tcPr>
          <w:p>
            <w:pPr>
              <w:spacing w:after="0"/>
              <w:rPr>
                <w:sz w:val="24"/>
                <w:szCs w:val="24"/>
                <w:color w:val="auto"/>
              </w:rPr>
            </w:pPr>
          </w:p>
        </w:tc>
        <w:tc>
          <w:tcPr>
            <w:tcW w:w="100" w:type="dxa"/>
            <w:vAlign w:val="bottom"/>
            <w:tcBorders>
              <w:bottom w:val="single" w:sz="8" w:color="ACACAC"/>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CACAC"/>
            </w:tcBorders>
          </w:tcPr>
          <w:p>
            <w:pPr>
              <w:spacing w:after="0"/>
              <w:rPr>
                <w:sz w:val="24"/>
                <w:szCs w:val="24"/>
                <w:color w:val="auto"/>
              </w:rPr>
            </w:pPr>
          </w:p>
        </w:tc>
        <w:tc>
          <w:tcPr>
            <w:tcW w:w="960" w:type="dxa"/>
            <w:vAlign w:val="bottom"/>
            <w:tcBorders>
              <w:bottom w:val="single" w:sz="8" w:color="ACACAC"/>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CACAC"/>
            </w:tcBorders>
          </w:tcPr>
          <w:p>
            <w:pPr>
              <w:spacing w:after="0"/>
              <w:rPr>
                <w:sz w:val="24"/>
                <w:szCs w:val="24"/>
                <w:color w:val="auto"/>
              </w:rPr>
            </w:pPr>
          </w:p>
        </w:tc>
        <w:tc>
          <w:tcPr>
            <w:tcW w:w="160" w:type="dxa"/>
            <w:vAlign w:val="bottom"/>
            <w:tcBorders>
              <w:bottom w:val="single" w:sz="8" w:color="ACACAC"/>
            </w:tcBorders>
          </w:tcPr>
          <w:p>
            <w:pPr>
              <w:spacing w:after="0"/>
              <w:rPr>
                <w:sz w:val="24"/>
                <w:szCs w:val="24"/>
                <w:color w:val="auto"/>
              </w:rPr>
            </w:pPr>
          </w:p>
        </w:tc>
        <w:tc>
          <w:tcPr>
            <w:tcW w:w="1000" w:type="dxa"/>
            <w:vAlign w:val="bottom"/>
            <w:tcBorders>
              <w:bottom w:val="single" w:sz="8" w:color="ACACAC"/>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CACAC"/>
            </w:tcBorders>
          </w:tcPr>
          <w:p>
            <w:pPr>
              <w:spacing w:after="0"/>
              <w:rPr>
                <w:sz w:val="24"/>
                <w:szCs w:val="24"/>
                <w:color w:val="auto"/>
              </w:rPr>
            </w:pPr>
          </w:p>
        </w:tc>
        <w:tc>
          <w:tcPr>
            <w:tcW w:w="940" w:type="dxa"/>
            <w:vAlign w:val="bottom"/>
            <w:tcBorders>
              <w:bottom w:val="single" w:sz="8" w:color="ACACAC"/>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CACAC"/>
            </w:tcBorders>
          </w:tcPr>
          <w:p>
            <w:pPr>
              <w:spacing w:after="0"/>
              <w:rPr>
                <w:sz w:val="24"/>
                <w:szCs w:val="24"/>
                <w:color w:val="auto"/>
              </w:rPr>
            </w:pPr>
          </w:p>
        </w:tc>
        <w:tc>
          <w:tcPr>
            <w:tcW w:w="920" w:type="dxa"/>
            <w:vAlign w:val="bottom"/>
            <w:tcBorders>
              <w:bottom w:val="single" w:sz="8" w:color="ACACAC"/>
            </w:tcBorders>
          </w:tcPr>
          <w:p>
            <w:pPr>
              <w:spacing w:after="0"/>
              <w:rPr>
                <w:sz w:val="24"/>
                <w:szCs w:val="24"/>
                <w:color w:val="auto"/>
              </w:rPr>
            </w:pPr>
          </w:p>
        </w:tc>
      </w:tr>
      <w:tr>
        <w:trPr>
          <w:trHeight w:val="21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Market-based core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31,512</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11,216</w:t>
            </w:r>
          </w:p>
        </w:tc>
        <w:tc>
          <w:tcPr>
            <w:tcW w:w="42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17,784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2,354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66,084</w:t>
            </w:r>
          </w:p>
        </w:tc>
      </w:tr>
      <w:tr>
        <w:trPr>
          <w:trHeight w:val="33"/>
        </w:trPr>
        <w:tc>
          <w:tcPr>
            <w:tcW w:w="2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CACAC"/>
            </w:tcBorders>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r>
      <w:tr>
        <w:trPr>
          <w:trHeight w:val="21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Market-based active</w:t>
            </w:r>
          </w:p>
        </w:tc>
        <w:tc>
          <w:tcPr>
            <w:tcW w:w="16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8,831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1,297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10,128</w:t>
            </w:r>
          </w:p>
        </w:tc>
      </w:tr>
      <w:tr>
        <w:trPr>
          <w:trHeight w:val="33"/>
        </w:trPr>
        <w:tc>
          <w:tcPr>
            <w:tcW w:w="23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11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CACAC"/>
            </w:tcBorders>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920" w:type="dxa"/>
            <w:vAlign w:val="bottom"/>
            <w:tcBorders>
              <w:bottom w:val="single" w:sz="8" w:color="ACACAC"/>
            </w:tcBorders>
          </w:tcPr>
          <w:p>
            <w:pPr>
              <w:spacing w:after="0"/>
              <w:rPr>
                <w:sz w:val="2"/>
                <w:szCs w:val="2"/>
                <w:color w:val="auto"/>
              </w:rPr>
            </w:pPr>
          </w:p>
        </w:tc>
      </w:tr>
      <w:tr>
        <w:trPr>
          <w:trHeight w:val="217"/>
        </w:trPr>
        <w:tc>
          <w:tcPr>
            <w:tcW w:w="2460" w:type="dxa"/>
            <w:vAlign w:val="bottom"/>
            <w:gridSpan w:val="2"/>
          </w:tcPr>
          <w:p>
            <w:pPr>
              <w:ind w:left="40"/>
              <w:spacing w:after="0"/>
              <w:rPr>
                <w:sz w:val="20"/>
                <w:szCs w:val="20"/>
                <w:color w:val="auto"/>
              </w:rPr>
            </w:pPr>
            <w:r>
              <w:rPr>
                <w:rFonts w:ascii="Arial" w:cs="Arial" w:eastAsia="Arial" w:hAnsi="Arial"/>
                <w:sz w:val="16"/>
                <w:szCs w:val="16"/>
                <w:color w:val="auto"/>
              </w:rPr>
              <w:t>Performance-based</w:t>
            </w:r>
          </w:p>
        </w:tc>
        <w:tc>
          <w:tcPr>
            <w:tcW w:w="16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4,467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3,442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7,909</w:t>
            </w:r>
          </w:p>
        </w:tc>
      </w:tr>
      <w:tr>
        <w:trPr>
          <w:trHeight w:val="33"/>
        </w:trPr>
        <w:tc>
          <w:tcPr>
            <w:tcW w:w="23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11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005BA5"/>
            </w:tcBorders>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920" w:type="dxa"/>
            <w:vAlign w:val="bottom"/>
            <w:tcBorders>
              <w:bottom w:val="single" w:sz="8" w:color="005BA5"/>
            </w:tcBorders>
          </w:tcPr>
          <w:p>
            <w:pPr>
              <w:spacing w:after="0"/>
              <w:rPr>
                <w:sz w:val="2"/>
                <w:szCs w:val="2"/>
                <w:color w:val="auto"/>
              </w:rPr>
            </w:pPr>
          </w:p>
        </w:tc>
      </w:tr>
      <w:tr>
        <w:trPr>
          <w:trHeight w:val="217"/>
        </w:trPr>
        <w:tc>
          <w:tcPr>
            <w:tcW w:w="246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119"/>
              <w:spacing w:after="0"/>
              <w:rPr>
                <w:sz w:val="20"/>
                <w:szCs w:val="20"/>
                <w:color w:val="auto"/>
              </w:rPr>
            </w:pPr>
            <w:r>
              <w:rPr>
                <w:rFonts w:ascii="Arial" w:cs="Arial" w:eastAsia="Arial" w:hAnsi="Arial"/>
                <w:sz w:val="16"/>
                <w:szCs w:val="16"/>
                <w:b w:val="1"/>
                <w:bCs w:val="1"/>
                <w:color w:val="auto"/>
              </w:rPr>
              <w:t>44,810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rPr>
              <w:t>1,318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11,216</w:t>
            </w:r>
          </w:p>
        </w:tc>
        <w:tc>
          <w:tcPr>
            <w:tcW w:w="4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19"/>
              <w:spacing w:after="0"/>
              <w:rPr>
                <w:sz w:val="20"/>
                <w:szCs w:val="20"/>
                <w:color w:val="auto"/>
              </w:rPr>
            </w:pPr>
            <w:r>
              <w:rPr>
                <w:rFonts w:ascii="Arial" w:cs="Arial" w:eastAsia="Arial" w:hAnsi="Arial"/>
                <w:sz w:val="16"/>
                <w:szCs w:val="16"/>
                <w:b w:val="1"/>
                <w:bCs w:val="1"/>
                <w:color w:val="auto"/>
              </w:rPr>
              <w:t>1,900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22,523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2,354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84,121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91"/>
        <w:spacing w:after="0"/>
        <w:tabs>
          <w:tab w:leader="none" w:pos="280" w:val="left"/>
        </w:tabs>
        <w:numPr>
          <w:ilvl w:val="0"/>
          <w:numId w:val="82"/>
        </w:numPr>
        <w:rPr>
          <w:rFonts w:ascii="Arial" w:cs="Arial" w:eastAsia="Arial" w:hAnsi="Arial"/>
          <w:sz w:val="23"/>
          <w:szCs w:val="23"/>
          <w:color w:val="005BA5"/>
          <w:vertAlign w:val="superscript"/>
        </w:rPr>
      </w:pPr>
      <w:r>
        <w:rPr>
          <w:rFonts w:ascii="Arial" w:cs="Arial" w:eastAsia="Arial" w:hAnsi="Arial"/>
          <w:sz w:val="14"/>
          <w:szCs w:val="14"/>
          <w:color w:val="auto"/>
        </w:rPr>
        <w:t>Balances reflect the elimination of related party investments between segments.</w:t>
      </w:r>
    </w:p>
    <w:p>
      <w:pPr>
        <w:spacing w:after="0" w:line="43" w:lineRule="exact"/>
        <w:rPr>
          <w:rFonts w:ascii="Arial" w:cs="Arial" w:eastAsia="Arial" w:hAnsi="Arial"/>
          <w:sz w:val="23"/>
          <w:szCs w:val="23"/>
          <w:color w:val="005BA5"/>
          <w:vertAlign w:val="superscript"/>
        </w:rPr>
      </w:pPr>
    </w:p>
    <w:p>
      <w:pPr>
        <w:ind w:left="280" w:right="380" w:hanging="191"/>
        <w:spacing w:after="0" w:line="188" w:lineRule="auto"/>
        <w:tabs>
          <w:tab w:leader="none" w:pos="280" w:val="left"/>
        </w:tabs>
        <w:numPr>
          <w:ilvl w:val="0"/>
          <w:numId w:val="82"/>
        </w:numPr>
        <w:rPr>
          <w:rFonts w:ascii="Arial" w:cs="Arial" w:eastAsia="Arial" w:hAnsi="Arial"/>
          <w:sz w:val="23"/>
          <w:szCs w:val="23"/>
          <w:color w:val="005BA5"/>
          <w:vertAlign w:val="superscript"/>
        </w:rPr>
      </w:pPr>
      <w:r>
        <w:rPr>
          <w:rFonts w:ascii="Arial" w:cs="Arial" w:eastAsia="Arial" w:hAnsi="Arial"/>
          <w:sz w:val="14"/>
          <w:szCs w:val="14"/>
          <w:color w:val="auto"/>
        </w:rPr>
        <w:t>Fixed income securities are carried at fair value. Amortized cost basis for these securities was $31.71 billion, $1.03 billion, $7.24 billion, $1.23 billion, $13.69 billion, $1.93 billion and $56.83 billion for Property-Liability, Service Businesses, Allstate Life, Allstate Benefits, Allstate Annuities, Corporate and Other, and in Total, respectively.</w:t>
      </w:r>
    </w:p>
    <w:p>
      <w:pPr>
        <w:spacing w:after="0" w:line="44" w:lineRule="exact"/>
        <w:rPr>
          <w:rFonts w:ascii="Arial" w:cs="Arial" w:eastAsia="Arial" w:hAnsi="Arial"/>
          <w:sz w:val="23"/>
          <w:szCs w:val="23"/>
          <w:color w:val="005BA5"/>
          <w:vertAlign w:val="superscript"/>
        </w:rPr>
      </w:pPr>
    </w:p>
    <w:p>
      <w:pPr>
        <w:ind w:left="280" w:right="400" w:hanging="191"/>
        <w:spacing w:after="0" w:line="188" w:lineRule="auto"/>
        <w:tabs>
          <w:tab w:leader="none" w:pos="280" w:val="left"/>
        </w:tabs>
        <w:numPr>
          <w:ilvl w:val="0"/>
          <w:numId w:val="82"/>
        </w:numPr>
        <w:rPr>
          <w:rFonts w:ascii="Arial" w:cs="Arial" w:eastAsia="Arial" w:hAnsi="Arial"/>
          <w:sz w:val="23"/>
          <w:szCs w:val="23"/>
          <w:color w:val="005BA5"/>
          <w:vertAlign w:val="superscript"/>
        </w:rPr>
      </w:pPr>
      <w:r>
        <w:rPr>
          <w:rFonts w:ascii="Arial" w:cs="Arial" w:eastAsia="Arial" w:hAnsi="Arial"/>
          <w:sz w:val="14"/>
          <w:szCs w:val="14"/>
          <w:color w:val="auto"/>
        </w:rPr>
        <w:t>Equity securities are carried at fair value. The fair value of equity securities held as of March 31, 2019, was $1.04 billion in excess of cost. These net gains were primarily concentrated in the consumer goods and technology sectors and in domestic equity index funds.</w:t>
      </w:r>
    </w:p>
    <w:p>
      <w:pPr>
        <w:spacing w:after="0" w:line="1" w:lineRule="exact"/>
        <w:rPr>
          <w:rFonts w:ascii="Arial" w:cs="Arial" w:eastAsia="Arial" w:hAnsi="Arial"/>
          <w:sz w:val="23"/>
          <w:szCs w:val="23"/>
          <w:color w:val="005BA5"/>
          <w:vertAlign w:val="superscript"/>
        </w:rPr>
      </w:pPr>
    </w:p>
    <w:p>
      <w:pPr>
        <w:ind w:left="280" w:hanging="191"/>
        <w:spacing w:after="0" w:line="196" w:lineRule="auto"/>
        <w:tabs>
          <w:tab w:leader="none" w:pos="280" w:val="left"/>
        </w:tabs>
        <w:numPr>
          <w:ilvl w:val="0"/>
          <w:numId w:val="82"/>
        </w:numPr>
        <w:rPr>
          <w:rFonts w:ascii="Arial" w:cs="Arial" w:eastAsia="Arial" w:hAnsi="Arial"/>
          <w:sz w:val="23"/>
          <w:szCs w:val="23"/>
          <w:color w:val="005BA5"/>
          <w:vertAlign w:val="superscript"/>
        </w:rPr>
      </w:pPr>
      <w:r>
        <w:rPr>
          <w:rFonts w:ascii="Arial" w:cs="Arial" w:eastAsia="Arial" w:hAnsi="Arial"/>
          <w:sz w:val="14"/>
          <w:szCs w:val="14"/>
          <w:color w:val="auto"/>
        </w:rPr>
        <w:t>Short-term investments are carried at fair value.</w:t>
      </w:r>
    </w:p>
    <w:p>
      <w:pPr>
        <w:sectPr>
          <w:pgSz w:w="11900" w:h="16838" w:orient="portrait"/>
          <w:cols w:equalWidth="0" w:num="1">
            <w:col w:w="11420"/>
          </w:cols>
          <w:pgMar w:left="240" w:top="141" w:right="239" w:bottom="1440" w:gutter="0" w:footer="0" w:header="0"/>
        </w:sectPr>
      </w:pPr>
    </w:p>
    <w:p>
      <w:pPr>
        <w:spacing w:after="0" w:line="95" w:lineRule="exact"/>
        <w:rPr>
          <w:sz w:val="20"/>
          <w:szCs w:val="20"/>
          <w:color w:val="auto"/>
        </w:rPr>
      </w:pPr>
    </w:p>
    <w:p>
      <w:pPr>
        <w:ind w:firstLine="324"/>
        <w:spacing w:after="0" w:line="250" w:lineRule="auto"/>
        <w:rPr>
          <w:sz w:val="20"/>
          <w:szCs w:val="20"/>
          <w:color w:val="auto"/>
        </w:rPr>
      </w:pPr>
      <w:r>
        <w:rPr>
          <w:rFonts w:ascii="Arial" w:cs="Arial" w:eastAsia="Arial" w:hAnsi="Arial"/>
          <w:sz w:val="16"/>
          <w:szCs w:val="16"/>
          <w:color w:val="auto"/>
        </w:rPr>
        <w:t>Investments totaled $84.12 billion as of March 31, 2019, increasing from $81.26 billion as of December 31, 2018, primarily due to higher fixed income and equity valuations and positive operating cash flows, partially offset by dividends paid to shareholders and net reductions in contractholder funds.</w:t>
      </w:r>
    </w:p>
    <w:p>
      <w:pPr>
        <w:spacing w:after="0" w:line="267"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b w:val="1"/>
          <w:bCs w:val="1"/>
          <w:color w:val="1666AF"/>
        </w:rPr>
        <w:t xml:space="preserve">Portfolio composition by investment strategy </w:t>
      </w:r>
      <w:r>
        <w:rPr>
          <w:rFonts w:ascii="Arial" w:cs="Arial" w:eastAsia="Arial" w:hAnsi="Arial"/>
          <w:sz w:val="16"/>
          <w:szCs w:val="16"/>
          <w:color w:val="000000"/>
        </w:rPr>
        <w:t>We utilize two primary</w:t>
      </w:r>
      <w:r>
        <w:rPr>
          <w:rFonts w:ascii="Arial" w:cs="Arial" w:eastAsia="Arial" w:hAnsi="Arial"/>
          <w:sz w:val="16"/>
          <w:szCs w:val="16"/>
          <w:b w:val="1"/>
          <w:bCs w:val="1"/>
          <w:color w:val="1666AF"/>
        </w:rPr>
        <w:t xml:space="preserve"> </w:t>
      </w:r>
      <w:r>
        <w:rPr>
          <w:rFonts w:ascii="Arial" w:cs="Arial" w:eastAsia="Arial" w:hAnsi="Arial"/>
          <w:sz w:val="16"/>
          <w:szCs w:val="16"/>
          <w:color w:val="000000"/>
        </w:rPr>
        <w:t>strategies to manage risks and returns and to position our portfolio to take advantage of market opportunities while attempting to mitigate adverse effects. As strategies and market conditions evolve, the asset allocation may change or assets may be moved between strategies.</w:t>
      </w:r>
    </w:p>
    <w:p>
      <w:pPr>
        <w:spacing w:after="0" w:line="76" w:lineRule="exact"/>
        <w:rPr>
          <w:sz w:val="20"/>
          <w:szCs w:val="20"/>
          <w:color w:val="auto"/>
        </w:rPr>
      </w:pPr>
    </w:p>
    <w:p>
      <w:pPr>
        <w:ind w:right="260" w:firstLine="324"/>
        <w:spacing w:after="0" w:line="264" w:lineRule="auto"/>
        <w:rPr>
          <w:sz w:val="20"/>
          <w:szCs w:val="20"/>
          <w:color w:val="auto"/>
        </w:rPr>
      </w:pPr>
      <w:r>
        <w:rPr>
          <w:rFonts w:ascii="Arial" w:cs="Arial" w:eastAsia="Arial" w:hAnsi="Arial"/>
          <w:sz w:val="16"/>
          <w:szCs w:val="16"/>
          <w:i w:val="1"/>
          <w:iCs w:val="1"/>
          <w:color w:val="1666AF"/>
        </w:rPr>
        <w:t xml:space="preserve">Market-based </w:t>
      </w:r>
      <w:r>
        <w:rPr>
          <w:rFonts w:ascii="Arial" w:cs="Arial" w:eastAsia="Arial" w:hAnsi="Arial"/>
          <w:sz w:val="16"/>
          <w:szCs w:val="16"/>
          <w:color w:val="000000"/>
        </w:rPr>
        <w:t>strategies include investments primarily in public fixed</w:t>
      </w:r>
      <w:r>
        <w:rPr>
          <w:rFonts w:ascii="Arial" w:cs="Arial" w:eastAsia="Arial" w:hAnsi="Arial"/>
          <w:sz w:val="16"/>
          <w:szCs w:val="16"/>
          <w:i w:val="1"/>
          <w:iCs w:val="1"/>
          <w:color w:val="1666AF"/>
        </w:rPr>
        <w:t xml:space="preserve"> </w:t>
      </w:r>
      <w:r>
        <w:rPr>
          <w:rFonts w:ascii="Arial" w:cs="Arial" w:eastAsia="Arial" w:hAnsi="Arial"/>
          <w:sz w:val="16"/>
          <w:szCs w:val="16"/>
          <w:color w:val="000000"/>
        </w:rPr>
        <w:t xml:space="preserve">income and equity securities. </w:t>
      </w:r>
      <w:r>
        <w:rPr>
          <w:rFonts w:ascii="Arial" w:cs="Arial" w:eastAsia="Arial" w:hAnsi="Arial"/>
          <w:sz w:val="16"/>
          <w:szCs w:val="16"/>
          <w:i w:val="1"/>
          <w:iCs w:val="1"/>
          <w:color w:val="000000"/>
        </w:rPr>
        <w:t>Market-based core</w:t>
      </w:r>
      <w:r>
        <w:rPr>
          <w:rFonts w:ascii="Arial" w:cs="Arial" w:eastAsia="Arial" w:hAnsi="Arial"/>
          <w:sz w:val="16"/>
          <w:szCs w:val="16"/>
          <w:color w:val="000000"/>
        </w:rPr>
        <w:t xml:space="preserve"> seeks to deliver predictable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 xml:space="preserve">earnings aligned to business needs and returns consistent with the markets in which we invest. Private fixed income assets, such as commercial mortgages, bank loans and privately placed debt that provide liquidity premiums are also included in this category. </w:t>
      </w:r>
      <w:r>
        <w:rPr>
          <w:rFonts w:ascii="Arial" w:cs="Arial" w:eastAsia="Arial" w:hAnsi="Arial"/>
          <w:sz w:val="16"/>
          <w:szCs w:val="16"/>
          <w:i w:val="1"/>
          <w:iCs w:val="1"/>
          <w:color w:val="auto"/>
        </w:rPr>
        <w:t>Market-based active</w:t>
      </w:r>
      <w:r>
        <w:rPr>
          <w:rFonts w:ascii="Arial" w:cs="Arial" w:eastAsia="Arial" w:hAnsi="Arial"/>
          <w:sz w:val="16"/>
          <w:szCs w:val="16"/>
          <w:color w:val="auto"/>
        </w:rPr>
        <w:t xml:space="preserve"> seeks to outperform within the public markets through tactical positioning and by taking advantage of short-term opportunities. This category may generate results that meaningfully deviate from those achieved by market indices, both favorably and unfavorably.</w:t>
      </w:r>
    </w:p>
    <w:p>
      <w:pPr>
        <w:spacing w:after="0" w:line="8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6"/>
          <w:szCs w:val="16"/>
          <w:i w:val="1"/>
          <w:iCs w:val="1"/>
          <w:color w:val="1666AF"/>
        </w:rPr>
        <w:t xml:space="preserve">Performance-based </w:t>
      </w:r>
      <w:r>
        <w:rPr>
          <w:rFonts w:ascii="Arial" w:cs="Arial" w:eastAsia="Arial" w:hAnsi="Arial"/>
          <w:sz w:val="16"/>
          <w:szCs w:val="16"/>
          <w:color w:val="000000"/>
        </w:rPr>
        <w:t>strategy seeks to deliver attractive risk-adjusted</w:t>
      </w:r>
      <w:r>
        <w:rPr>
          <w:rFonts w:ascii="Arial" w:cs="Arial" w:eastAsia="Arial" w:hAnsi="Arial"/>
          <w:sz w:val="16"/>
          <w:szCs w:val="16"/>
          <w:i w:val="1"/>
          <w:iCs w:val="1"/>
          <w:color w:val="1666AF"/>
        </w:rPr>
        <w:t xml:space="preserve"> </w:t>
      </w:r>
      <w:r>
        <w:rPr>
          <w:rFonts w:ascii="Arial" w:cs="Arial" w:eastAsia="Arial" w:hAnsi="Arial"/>
          <w:sz w:val="16"/>
          <w:szCs w:val="16"/>
          <w:color w:val="000000"/>
        </w:rPr>
        <w:t>returns and supplement market risk with idiosyncratic risk primarily through investments in private equity and real estate.</w:t>
      </w:r>
    </w:p>
    <w:p>
      <w:pPr>
        <w:spacing w:after="0" w:line="686" w:lineRule="exact"/>
        <w:rPr>
          <w:sz w:val="20"/>
          <w:szCs w:val="20"/>
          <w:color w:val="auto"/>
        </w:rPr>
      </w:pPr>
    </w:p>
    <w:p>
      <w:pPr>
        <w:sectPr>
          <w:pgSz w:w="11900" w:h="16838" w:orient="portrait"/>
          <w:cols w:equalWidth="0" w:num="2">
            <w:col w:w="5480" w:space="460"/>
            <w:col w:w="5480"/>
          </w:cols>
          <w:pgMar w:left="240" w:top="141" w:right="239" w:bottom="1440" w:gutter="0" w:footer="0" w:header="0"/>
          <w:type w:val="continuous"/>
        </w:sectPr>
      </w:pPr>
    </w:p>
    <w:p>
      <w:pPr>
        <w:spacing w:after="0" w:line="127"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83</w:t>
      </w:r>
    </w:p>
    <w:p>
      <w:pPr>
        <w:sectPr>
          <w:pgSz w:w="11900" w:h="16838" w:orient="portrait"/>
          <w:cols w:equalWidth="0" w:num="1">
            <w:col w:w="11420"/>
          </w:cols>
          <w:pgMar w:left="240" w:top="141" w:right="2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color w:val="1666AF"/>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Portfolio composition by investment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w w:val="95"/>
              </w:rPr>
              <w:t>As of March 31, 2019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11"/>
        </w:trPr>
        <w:tc>
          <w:tcPr>
            <w:tcW w:w="494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24"/>
                <w:szCs w:val="24"/>
                <w:color w:val="auto"/>
              </w:rPr>
            </w:pPr>
          </w:p>
        </w:tc>
        <w:tc>
          <w:tcPr>
            <w:tcW w:w="1520" w:type="dxa"/>
            <w:vAlign w:val="bottom"/>
            <w:tcBorders>
              <w:bottom w:val="single" w:sz="8" w:color="005BA5"/>
            </w:tcBorders>
            <w:gridSpan w:val="2"/>
          </w:tcPr>
          <w:p>
            <w:pPr>
              <w:jc w:val="right"/>
              <w:ind w:right="19"/>
              <w:spacing w:after="0"/>
              <w:rPr>
                <w:sz w:val="20"/>
                <w:szCs w:val="20"/>
                <w:color w:val="auto"/>
              </w:rPr>
            </w:pPr>
            <w:r>
              <w:rPr>
                <w:rFonts w:ascii="Arial" w:cs="Arial" w:eastAsia="Arial" w:hAnsi="Arial"/>
                <w:sz w:val="16"/>
                <w:szCs w:val="16"/>
                <w:b w:val="1"/>
                <w:bCs w:val="1"/>
                <w:color w:val="auto"/>
                <w:w w:val="98"/>
              </w:rPr>
              <w:t>Market-based core</w:t>
            </w:r>
          </w:p>
        </w:tc>
        <w:tc>
          <w:tcPr>
            <w:tcW w:w="100" w:type="dxa"/>
            <w:vAlign w:val="bottom"/>
          </w:tcPr>
          <w:p>
            <w:pPr>
              <w:spacing w:after="0"/>
              <w:rPr>
                <w:sz w:val="24"/>
                <w:szCs w:val="24"/>
                <w:color w:val="auto"/>
              </w:rPr>
            </w:pPr>
          </w:p>
        </w:tc>
        <w:tc>
          <w:tcPr>
            <w:tcW w:w="1580" w:type="dxa"/>
            <w:vAlign w:val="bottom"/>
            <w:tcBorders>
              <w:bottom w:val="single" w:sz="8" w:color="005BA5"/>
            </w:tcBorders>
            <w:gridSpan w:val="4"/>
          </w:tcPr>
          <w:p>
            <w:pPr>
              <w:ind w:left="60"/>
              <w:spacing w:after="0"/>
              <w:rPr>
                <w:sz w:val="20"/>
                <w:szCs w:val="20"/>
                <w:color w:val="auto"/>
              </w:rPr>
            </w:pPr>
            <w:r>
              <w:rPr>
                <w:rFonts w:ascii="Arial" w:cs="Arial" w:eastAsia="Arial" w:hAnsi="Arial"/>
                <w:sz w:val="16"/>
                <w:szCs w:val="16"/>
                <w:b w:val="1"/>
                <w:bCs w:val="1"/>
                <w:color w:val="auto"/>
                <w:w w:val="98"/>
              </w:rPr>
              <w:t>Market-based active</w:t>
            </w:r>
          </w:p>
        </w:tc>
        <w:tc>
          <w:tcPr>
            <w:tcW w:w="1660" w:type="dxa"/>
            <w:vAlign w:val="bottom"/>
            <w:tcBorders>
              <w:bottom w:val="single" w:sz="8" w:color="005BA5"/>
            </w:tcBorders>
            <w:gridSpan w:val="4"/>
          </w:tcPr>
          <w:p>
            <w:pPr>
              <w:jc w:val="right"/>
              <w:ind w:right="99"/>
              <w:spacing w:after="0"/>
              <w:rPr>
                <w:sz w:val="20"/>
                <w:szCs w:val="20"/>
                <w:color w:val="auto"/>
              </w:rPr>
            </w:pPr>
            <w:r>
              <w:rPr>
                <w:rFonts w:ascii="Arial" w:cs="Arial" w:eastAsia="Arial" w:hAnsi="Arial"/>
                <w:sz w:val="16"/>
                <w:szCs w:val="16"/>
                <w:b w:val="1"/>
                <w:bCs w:val="1"/>
                <w:color w:val="auto"/>
                <w:w w:val="97"/>
              </w:rPr>
              <w:t>Performance-based</w:t>
            </w:r>
          </w:p>
        </w:tc>
        <w:tc>
          <w:tcPr>
            <w:tcW w:w="360" w:type="dxa"/>
            <w:vAlign w:val="bottom"/>
            <w:tcBorders>
              <w:bottom w:val="single" w:sz="8" w:color="005BA5"/>
            </w:tcBorders>
          </w:tcPr>
          <w:p>
            <w:pPr>
              <w:spacing w:after="0"/>
              <w:rPr>
                <w:sz w:val="24"/>
                <w:szCs w:val="24"/>
                <w:color w:val="auto"/>
              </w:rPr>
            </w:pPr>
          </w:p>
        </w:tc>
        <w:tc>
          <w:tcPr>
            <w:tcW w:w="1160" w:type="dxa"/>
            <w:vAlign w:val="bottom"/>
            <w:tcBorders>
              <w:bottom w:val="single" w:sz="8" w:color="005BA5"/>
            </w:tcBorders>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Fixed income securities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49,744</w:t>
            </w: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8,369</w:t>
            </w:r>
          </w:p>
        </w:tc>
        <w:tc>
          <w:tcPr>
            <w:tcW w:w="9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ind w:right="179"/>
              <w:spacing w:after="0"/>
              <w:rPr>
                <w:sz w:val="20"/>
                <w:szCs w:val="20"/>
                <w:color w:val="auto"/>
              </w:rPr>
            </w:pPr>
            <w:r>
              <w:rPr>
                <w:rFonts w:ascii="Arial" w:cs="Arial" w:eastAsia="Arial" w:hAnsi="Arial"/>
                <w:sz w:val="16"/>
                <w:szCs w:val="16"/>
                <w:color w:val="auto"/>
              </w:rPr>
              <w:t>89</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58,202</w:t>
            </w:r>
          </w:p>
        </w:tc>
      </w:tr>
      <w:tr>
        <w:trPr>
          <w:trHeight w:val="33"/>
        </w:trPr>
        <w:tc>
          <w:tcPr>
            <w:tcW w:w="4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3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Equity securities</w:t>
            </w:r>
          </w:p>
        </w:tc>
        <w:tc>
          <w:tcPr>
            <w:tcW w:w="5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5,015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568</w:t>
            </w:r>
          </w:p>
        </w:tc>
        <w:tc>
          <w:tcPr>
            <w:tcW w:w="980" w:type="dxa"/>
            <w:vAlign w:val="bottom"/>
          </w:tcPr>
          <w:p>
            <w:pPr>
              <w:spacing w:after="0"/>
              <w:rPr>
                <w:sz w:val="20"/>
                <w:szCs w:val="20"/>
                <w:color w:val="auto"/>
              </w:rPr>
            </w:pPr>
          </w:p>
        </w:tc>
        <w:tc>
          <w:tcPr>
            <w:tcW w:w="680" w:type="dxa"/>
            <w:vAlign w:val="bottom"/>
            <w:gridSpan w:val="3"/>
          </w:tcPr>
          <w:p>
            <w:pPr>
              <w:jc w:val="right"/>
              <w:ind w:right="179"/>
              <w:spacing w:after="0"/>
              <w:rPr>
                <w:sz w:val="20"/>
                <w:szCs w:val="20"/>
                <w:color w:val="auto"/>
              </w:rPr>
            </w:pPr>
            <w:r>
              <w:rPr>
                <w:rFonts w:ascii="Arial" w:cs="Arial" w:eastAsia="Arial" w:hAnsi="Arial"/>
                <w:sz w:val="16"/>
                <w:szCs w:val="16"/>
                <w:color w:val="auto"/>
              </w:rPr>
              <w:t>219</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5,802</w:t>
            </w:r>
          </w:p>
        </w:tc>
      </w:tr>
      <w:tr>
        <w:trPr>
          <w:trHeight w:val="33"/>
        </w:trPr>
        <w:tc>
          <w:tcPr>
            <w:tcW w:w="4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3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Mortgage loans</w:t>
            </w:r>
          </w:p>
        </w:tc>
        <w:tc>
          <w:tcPr>
            <w:tcW w:w="5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4,681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4,681</w:t>
            </w:r>
          </w:p>
        </w:tc>
      </w:tr>
      <w:tr>
        <w:trPr>
          <w:trHeight w:val="33"/>
        </w:trPr>
        <w:tc>
          <w:tcPr>
            <w:tcW w:w="4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3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Limited partnership interests</w:t>
            </w:r>
          </w:p>
        </w:tc>
        <w:tc>
          <w:tcPr>
            <w:tcW w:w="5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543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180</w:t>
            </w:r>
          </w:p>
        </w:tc>
        <w:tc>
          <w:tcPr>
            <w:tcW w:w="980" w:type="dxa"/>
            <w:vAlign w:val="bottom"/>
          </w:tcPr>
          <w:p>
            <w:pPr>
              <w:spacing w:after="0"/>
              <w:rPr>
                <w:sz w:val="20"/>
                <w:szCs w:val="20"/>
                <w:color w:val="auto"/>
              </w:rPr>
            </w:pPr>
          </w:p>
        </w:tc>
        <w:tc>
          <w:tcPr>
            <w:tcW w:w="680" w:type="dxa"/>
            <w:vAlign w:val="bottom"/>
            <w:gridSpan w:val="3"/>
          </w:tcPr>
          <w:p>
            <w:pPr>
              <w:jc w:val="right"/>
              <w:ind w:right="179"/>
              <w:spacing w:after="0"/>
              <w:rPr>
                <w:sz w:val="20"/>
                <w:szCs w:val="20"/>
                <w:color w:val="auto"/>
              </w:rPr>
            </w:pPr>
            <w:r>
              <w:rPr>
                <w:rFonts w:ascii="Arial" w:cs="Arial" w:eastAsia="Arial" w:hAnsi="Arial"/>
                <w:sz w:val="16"/>
                <w:szCs w:val="16"/>
                <w:color w:val="auto"/>
                <w:w w:val="99"/>
              </w:rPr>
              <w:t>6,770</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7,493</w:t>
            </w:r>
          </w:p>
        </w:tc>
      </w:tr>
      <w:tr>
        <w:trPr>
          <w:trHeight w:val="33"/>
        </w:trPr>
        <w:tc>
          <w:tcPr>
            <w:tcW w:w="4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3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Short-term investments</w:t>
            </w:r>
          </w:p>
        </w:tc>
        <w:tc>
          <w:tcPr>
            <w:tcW w:w="5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3,285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872</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4,157</w:t>
            </w:r>
          </w:p>
        </w:tc>
      </w:tr>
      <w:tr>
        <w:trPr>
          <w:trHeight w:val="33"/>
        </w:trPr>
        <w:tc>
          <w:tcPr>
            <w:tcW w:w="4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3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52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139</w:t>
            </w:r>
          </w:p>
        </w:tc>
        <w:tc>
          <w:tcPr>
            <w:tcW w:w="980" w:type="dxa"/>
            <w:vAlign w:val="bottom"/>
          </w:tcPr>
          <w:p>
            <w:pPr>
              <w:spacing w:after="0"/>
              <w:rPr>
                <w:sz w:val="20"/>
                <w:szCs w:val="20"/>
                <w:color w:val="auto"/>
              </w:rPr>
            </w:pPr>
          </w:p>
        </w:tc>
        <w:tc>
          <w:tcPr>
            <w:tcW w:w="680" w:type="dxa"/>
            <w:vAlign w:val="bottom"/>
            <w:gridSpan w:val="3"/>
          </w:tcPr>
          <w:p>
            <w:pPr>
              <w:jc w:val="right"/>
              <w:ind w:right="179"/>
              <w:spacing w:after="0"/>
              <w:rPr>
                <w:sz w:val="20"/>
                <w:szCs w:val="20"/>
                <w:color w:val="auto"/>
              </w:rPr>
            </w:pPr>
            <w:r>
              <w:rPr>
                <w:rFonts w:ascii="Arial" w:cs="Arial" w:eastAsia="Arial" w:hAnsi="Arial"/>
                <w:sz w:val="16"/>
                <w:szCs w:val="16"/>
                <w:color w:val="auto"/>
              </w:rPr>
              <w:t>831</w:t>
            </w:r>
          </w:p>
        </w:tc>
        <w:tc>
          <w:tcPr>
            <w:tcW w:w="36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3,786</w:t>
            </w:r>
          </w:p>
        </w:tc>
      </w:tr>
      <w:tr>
        <w:trPr>
          <w:trHeight w:val="33"/>
        </w:trPr>
        <w:tc>
          <w:tcPr>
            <w:tcW w:w="49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6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36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31"/>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66,084</w:t>
            </w: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b w:val="1"/>
                <w:bCs w:val="1"/>
                <w:color w:val="auto"/>
              </w:rPr>
              <w:t>10,128</w:t>
            </w:r>
          </w:p>
        </w:tc>
        <w:tc>
          <w:tcPr>
            <w:tcW w:w="98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8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w w:val="99"/>
              </w:rPr>
              <w:t>7,909</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84,121</w:t>
            </w:r>
          </w:p>
        </w:tc>
      </w:tr>
      <w:tr>
        <w:trPr>
          <w:trHeight w:val="33"/>
        </w:trPr>
        <w:tc>
          <w:tcPr>
            <w:tcW w:w="49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6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36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3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 of total</w:t>
            </w: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w:t>
            </w:r>
          </w:p>
        </w:tc>
        <w:tc>
          <w:tcPr>
            <w:tcW w:w="980" w:type="dxa"/>
            <w:vAlign w:val="bottom"/>
          </w:tcPr>
          <w:p>
            <w:pPr>
              <w:spacing w:after="0"/>
              <w:rPr>
                <w:sz w:val="20"/>
                <w:szCs w:val="20"/>
                <w:color w:val="auto"/>
              </w:rPr>
            </w:pPr>
          </w:p>
        </w:tc>
        <w:tc>
          <w:tcPr>
            <w:tcW w:w="680" w:type="dxa"/>
            <w:vAlign w:val="bottom"/>
            <w:gridSpan w:val="3"/>
          </w:tcPr>
          <w:p>
            <w:pPr>
              <w:jc w:val="right"/>
              <w:ind w:right="39"/>
              <w:spacing w:after="0"/>
              <w:rPr>
                <w:sz w:val="20"/>
                <w:szCs w:val="20"/>
                <w:color w:val="auto"/>
              </w:rPr>
            </w:pPr>
            <w:r>
              <w:rPr>
                <w:rFonts w:ascii="Arial" w:cs="Arial" w:eastAsia="Arial" w:hAnsi="Arial"/>
                <w:sz w:val="16"/>
                <w:szCs w:val="16"/>
                <w:color w:val="auto"/>
              </w:rPr>
              <w:t>9.4%</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04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56"/>
        </w:trPr>
        <w:tc>
          <w:tcPr>
            <w:tcW w:w="494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Borders>
              <w:top w:val="single" w:sz="8" w:color="ACACAC"/>
              <w:bottom w:val="single" w:sz="8" w:color="ACACAC"/>
            </w:tcBorders>
          </w:tcPr>
          <w:p>
            <w:pPr>
              <w:spacing w:after="0"/>
              <w:rPr>
                <w:sz w:val="13"/>
                <w:szCs w:val="13"/>
                <w:color w:val="auto"/>
              </w:rPr>
            </w:pPr>
          </w:p>
        </w:tc>
        <w:tc>
          <w:tcPr>
            <w:tcW w:w="100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CACAC"/>
              <w:bottom w:val="single" w:sz="8" w:color="ACACAC"/>
            </w:tcBorders>
          </w:tcPr>
          <w:p>
            <w:pPr>
              <w:spacing w:after="0"/>
              <w:rPr>
                <w:sz w:val="13"/>
                <w:szCs w:val="13"/>
                <w:color w:val="auto"/>
              </w:rPr>
            </w:pPr>
          </w:p>
        </w:tc>
        <w:tc>
          <w:tcPr>
            <w:tcW w:w="120" w:type="dxa"/>
            <w:vAlign w:val="bottom"/>
            <w:tcBorders>
              <w:top w:val="single" w:sz="8" w:color="ACACAC"/>
              <w:bottom w:val="single" w:sz="8" w:color="ACACAC"/>
            </w:tcBorders>
          </w:tcPr>
          <w:p>
            <w:pPr>
              <w:spacing w:after="0"/>
              <w:rPr>
                <w:sz w:val="13"/>
                <w:szCs w:val="13"/>
                <w:color w:val="auto"/>
              </w:rPr>
            </w:pPr>
          </w:p>
        </w:tc>
        <w:tc>
          <w:tcPr>
            <w:tcW w:w="180" w:type="dxa"/>
            <w:vAlign w:val="bottom"/>
            <w:tcBorders>
              <w:top w:val="single" w:sz="8" w:color="ACACAC"/>
              <w:bottom w:val="single" w:sz="8" w:color="ACACAC"/>
            </w:tcBorders>
          </w:tcPr>
          <w:p>
            <w:pPr>
              <w:spacing w:after="0"/>
              <w:rPr>
                <w:sz w:val="13"/>
                <w:szCs w:val="13"/>
                <w:color w:val="auto"/>
              </w:rPr>
            </w:pPr>
          </w:p>
        </w:tc>
        <w:tc>
          <w:tcPr>
            <w:tcW w:w="860" w:type="dxa"/>
            <w:vAlign w:val="bottom"/>
            <w:tcBorders>
              <w:top w:val="single" w:sz="8" w:color="ACACAC"/>
              <w:bottom w:val="single" w:sz="8" w:color="ACACAC"/>
            </w:tcBorders>
          </w:tcPr>
          <w:p>
            <w:pPr>
              <w:spacing w:after="0"/>
              <w:rPr>
                <w:sz w:val="13"/>
                <w:szCs w:val="13"/>
                <w:color w:val="auto"/>
              </w:rPr>
            </w:pPr>
          </w:p>
        </w:tc>
        <w:tc>
          <w:tcPr>
            <w:tcW w:w="980" w:type="dxa"/>
            <w:vAlign w:val="bottom"/>
            <w:tcBorders>
              <w:top w:val="single" w:sz="8" w:color="ACACAC"/>
              <w:bottom w:val="single" w:sz="8" w:color="ACACAC"/>
            </w:tcBorders>
          </w:tcPr>
          <w:p>
            <w:pPr>
              <w:spacing w:after="0"/>
              <w:rPr>
                <w:sz w:val="13"/>
                <w:szCs w:val="13"/>
                <w:color w:val="auto"/>
              </w:rPr>
            </w:pPr>
          </w:p>
        </w:tc>
        <w:tc>
          <w:tcPr>
            <w:tcW w:w="60" w:type="dxa"/>
            <w:vAlign w:val="bottom"/>
            <w:tcBorders>
              <w:top w:val="single" w:sz="8" w:color="ACACAC"/>
              <w:bottom w:val="single" w:sz="8" w:color="ACACAC"/>
            </w:tcBorders>
          </w:tcPr>
          <w:p>
            <w:pPr>
              <w:spacing w:after="0"/>
              <w:rPr>
                <w:sz w:val="13"/>
                <w:szCs w:val="13"/>
                <w:color w:val="auto"/>
              </w:rPr>
            </w:pPr>
          </w:p>
        </w:tc>
        <w:tc>
          <w:tcPr>
            <w:tcW w:w="100" w:type="dxa"/>
            <w:vAlign w:val="bottom"/>
            <w:tcBorders>
              <w:top w:val="single" w:sz="8" w:color="ACACAC"/>
              <w:bottom w:val="single" w:sz="8" w:color="ACACAC"/>
            </w:tcBorders>
          </w:tcPr>
          <w:p>
            <w:pPr>
              <w:spacing w:after="0"/>
              <w:rPr>
                <w:sz w:val="13"/>
                <w:szCs w:val="13"/>
                <w:color w:val="auto"/>
              </w:rPr>
            </w:pPr>
          </w:p>
        </w:tc>
        <w:tc>
          <w:tcPr>
            <w:tcW w:w="520" w:type="dxa"/>
            <w:vAlign w:val="bottom"/>
            <w:tcBorders>
              <w:top w:val="single" w:sz="8" w:color="ACACAC"/>
              <w:bottom w:val="single" w:sz="8" w:color="ACACAC"/>
            </w:tcBorders>
          </w:tcPr>
          <w:p>
            <w:pPr>
              <w:spacing w:after="0"/>
              <w:rPr>
                <w:sz w:val="13"/>
                <w:szCs w:val="13"/>
                <w:color w:val="auto"/>
              </w:rPr>
            </w:pPr>
          </w:p>
        </w:tc>
        <w:tc>
          <w:tcPr>
            <w:tcW w:w="360" w:type="dxa"/>
            <w:vAlign w:val="bottom"/>
            <w:tcBorders>
              <w:top w:val="single" w:sz="8" w:color="ACACAC"/>
              <w:bottom w:val="single" w:sz="8" w:color="ACACAC"/>
            </w:tcBorders>
          </w:tcPr>
          <w:p>
            <w:pPr>
              <w:spacing w:after="0"/>
              <w:rPr>
                <w:sz w:val="13"/>
                <w:szCs w:val="13"/>
                <w:color w:val="auto"/>
              </w:rPr>
            </w:pPr>
          </w:p>
        </w:tc>
        <w:tc>
          <w:tcPr>
            <w:tcW w:w="1160" w:type="dxa"/>
            <w:vAlign w:val="bottom"/>
            <w:tcBorders>
              <w:top w:val="single" w:sz="8" w:color="ACACAC"/>
              <w:bottom w:val="single" w:sz="8" w:color="ACACAC"/>
            </w:tcBorders>
          </w:tcPr>
          <w:p>
            <w:pPr>
              <w:spacing w:after="0"/>
              <w:rPr>
                <w:sz w:val="13"/>
                <w:szCs w:val="13"/>
                <w:color w:val="auto"/>
              </w:rPr>
            </w:pPr>
          </w:p>
        </w:tc>
      </w:tr>
      <w:tr>
        <w:trPr>
          <w:trHeight w:val="231"/>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Unrealized net capital gains and losses</w:t>
            </w: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4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31"/>
        </w:trPr>
        <w:tc>
          <w:tcPr>
            <w:tcW w:w="5040" w:type="dxa"/>
            <w:vAlign w:val="bottom"/>
            <w:gridSpan w:val="2"/>
          </w:tcPr>
          <w:p>
            <w:pPr>
              <w:ind w:left="280"/>
              <w:spacing w:after="0"/>
              <w:rPr>
                <w:sz w:val="20"/>
                <w:szCs w:val="20"/>
                <w:color w:val="auto"/>
              </w:rPr>
            </w:pPr>
            <w:r>
              <w:rPr>
                <w:rFonts w:ascii="Arial" w:cs="Arial" w:eastAsia="Arial" w:hAnsi="Arial"/>
                <w:sz w:val="16"/>
                <w:szCs w:val="16"/>
                <w:color w:val="auto"/>
              </w:rPr>
              <w:t>Fixed income securities</w:t>
            </w: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107</w:t>
            </w:r>
          </w:p>
        </w:tc>
        <w:tc>
          <w:tcPr>
            <w:tcW w:w="98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1,371</w:t>
            </w:r>
          </w:p>
        </w:tc>
      </w:tr>
      <w:tr>
        <w:trPr>
          <w:trHeight w:val="33"/>
        </w:trPr>
        <w:tc>
          <w:tcPr>
            <w:tcW w:w="49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Borders>
              <w:bottom w:val="single" w:sz="8" w:color="ACACAC"/>
            </w:tcBorders>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31"/>
        </w:trPr>
        <w:tc>
          <w:tcPr>
            <w:tcW w:w="5040" w:type="dxa"/>
            <w:vAlign w:val="bottom"/>
            <w:gridSpan w:val="2"/>
          </w:tcPr>
          <w:p>
            <w:pPr>
              <w:ind w:left="280"/>
              <w:spacing w:after="0"/>
              <w:rPr>
                <w:sz w:val="20"/>
                <w:szCs w:val="20"/>
                <w:color w:val="auto"/>
              </w:rPr>
            </w:pPr>
            <w:r>
              <w:rPr>
                <w:rFonts w:ascii="Arial" w:cs="Arial" w:eastAsia="Arial" w:hAnsi="Arial"/>
                <w:sz w:val="16"/>
                <w:szCs w:val="16"/>
                <w:color w:val="auto"/>
              </w:rPr>
              <w:t>Other</w:t>
            </w:r>
          </w:p>
        </w:tc>
        <w:tc>
          <w:tcPr>
            <w:tcW w:w="5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49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6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36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31"/>
        </w:trPr>
        <w:tc>
          <w:tcPr>
            <w:tcW w:w="504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52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1,261</w:t>
            </w:r>
          </w:p>
        </w:tc>
        <w:tc>
          <w:tcPr>
            <w:tcW w:w="100" w:type="dxa"/>
            <w:vAlign w:val="bottom"/>
          </w:tcPr>
          <w:p>
            <w:pPr>
              <w:spacing w:after="0"/>
              <w:rPr>
                <w:sz w:val="20"/>
                <w:szCs w:val="20"/>
                <w:color w:val="auto"/>
              </w:rPr>
            </w:pPr>
          </w:p>
        </w:tc>
        <w:tc>
          <w:tcPr>
            <w:tcW w:w="420" w:type="dxa"/>
            <w:vAlign w:val="bottom"/>
          </w:tcPr>
          <w:p>
            <w:pPr>
              <w:ind w:left="4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b w:val="1"/>
                <w:bCs w:val="1"/>
                <w:color w:val="auto"/>
              </w:rPr>
              <w:t>107</w:t>
            </w:r>
          </w:p>
        </w:tc>
        <w:tc>
          <w:tcPr>
            <w:tcW w:w="980" w:type="dxa"/>
            <w:vAlign w:val="bottom"/>
          </w:tcPr>
          <w:p>
            <w:pPr>
              <w:jc w:val="right"/>
              <w:ind w:right="739"/>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b w:val="1"/>
                <w:bCs w:val="1"/>
                <w:color w:val="auto"/>
              </w:rPr>
              <w:t>1,368</w:t>
            </w:r>
          </w:p>
        </w:tc>
      </w:tr>
      <w:tr>
        <w:trPr>
          <w:trHeight w:val="33"/>
        </w:trPr>
        <w:tc>
          <w:tcPr>
            <w:tcW w:w="49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20" w:type="dxa"/>
            <w:vAlign w:val="bottom"/>
            <w:tcBorders>
              <w:bottom w:val="single" w:sz="8" w:color="005BA5"/>
            </w:tcBorders>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6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36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37"/>
        </w:trPr>
        <w:tc>
          <w:tcPr>
            <w:tcW w:w="5040" w:type="dxa"/>
            <w:vAlign w:val="bottom"/>
            <w:tcBorders>
              <w:bottom w:val="single" w:sz="8" w:color="auto"/>
            </w:tcBorders>
            <w:gridSpan w:val="2"/>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0"/>
        </w:trPr>
        <w:tc>
          <w:tcPr>
            <w:tcW w:w="50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Fixed income securities by type</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37"/>
        </w:trPr>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60" w:type="dxa"/>
            <w:vAlign w:val="bottom"/>
            <w:gridSpan w:val="4"/>
          </w:tcPr>
          <w:p>
            <w:pPr>
              <w:jc w:val="right"/>
              <w:spacing w:after="0"/>
              <w:rPr>
                <w:sz w:val="20"/>
                <w:szCs w:val="20"/>
                <w:color w:val="auto"/>
              </w:rPr>
            </w:pPr>
            <w:r>
              <w:rPr>
                <w:rFonts w:ascii="Arial" w:cs="Arial" w:eastAsia="Arial" w:hAnsi="Arial"/>
                <w:sz w:val="16"/>
                <w:szCs w:val="16"/>
                <w:b w:val="1"/>
                <w:bCs w:val="1"/>
                <w:color w:val="auto"/>
              </w:rPr>
              <w:t>Fair value as of</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97"/>
        </w:trPr>
        <w:tc>
          <w:tcPr>
            <w:tcW w:w="5040" w:type="dxa"/>
            <w:vAlign w:val="bottom"/>
            <w:tcBorders>
              <w:bottom w:val="single" w:sz="8" w:color="005BA5"/>
            </w:tcBorders>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520" w:type="dxa"/>
            <w:vAlign w:val="bottom"/>
            <w:tcBorders>
              <w:bottom w:val="single" w:sz="8" w:color="005BA5"/>
            </w:tcBorders>
          </w:tcPr>
          <w:p>
            <w:pPr>
              <w:spacing w:after="0"/>
              <w:rPr>
                <w:sz w:val="24"/>
                <w:szCs w:val="24"/>
                <w:color w:val="auto"/>
              </w:rPr>
            </w:pPr>
          </w:p>
        </w:tc>
        <w:tc>
          <w:tcPr>
            <w:tcW w:w="1000" w:type="dxa"/>
            <w:vAlign w:val="bottom"/>
            <w:tcBorders>
              <w:bottom w:val="single" w:sz="8" w:color="005BA5"/>
            </w:tcBorders>
          </w:tcPr>
          <w:p>
            <w:pPr>
              <w:spacing w:after="0"/>
              <w:rPr>
                <w:sz w:val="24"/>
                <w:szCs w:val="24"/>
                <w:color w:val="auto"/>
              </w:rPr>
            </w:pPr>
          </w:p>
        </w:tc>
        <w:tc>
          <w:tcPr>
            <w:tcW w:w="100" w:type="dxa"/>
            <w:vAlign w:val="bottom"/>
            <w:tcBorders>
              <w:bottom w:val="single" w:sz="8" w:color="005BA5"/>
            </w:tcBorders>
          </w:tcPr>
          <w:p>
            <w:pPr>
              <w:spacing w:after="0"/>
              <w:rPr>
                <w:sz w:val="24"/>
                <w:szCs w:val="24"/>
                <w:color w:val="auto"/>
              </w:rPr>
            </w:pPr>
          </w:p>
        </w:tc>
        <w:tc>
          <w:tcPr>
            <w:tcW w:w="420" w:type="dxa"/>
            <w:vAlign w:val="bottom"/>
            <w:tcBorders>
              <w:bottom w:val="single" w:sz="8" w:color="005BA5"/>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005BA5"/>
            </w:tcBorders>
          </w:tcPr>
          <w:p>
            <w:pPr>
              <w:spacing w:after="0"/>
              <w:rPr>
                <w:sz w:val="24"/>
                <w:szCs w:val="24"/>
                <w:color w:val="auto"/>
              </w:rPr>
            </w:pPr>
          </w:p>
        </w:tc>
        <w:tc>
          <w:tcPr>
            <w:tcW w:w="1840" w:type="dxa"/>
            <w:vAlign w:val="bottom"/>
            <w:tcBorders>
              <w:bottom w:val="single" w:sz="8" w:color="005BA5"/>
            </w:tcBorders>
            <w:gridSpan w:val="2"/>
          </w:tcPr>
          <w:p>
            <w:pPr>
              <w:jc w:val="right"/>
              <w:ind w:right="359"/>
              <w:spacing w:after="0"/>
              <w:rPr>
                <w:sz w:val="20"/>
                <w:szCs w:val="20"/>
                <w:color w:val="auto"/>
              </w:rPr>
            </w:pPr>
            <w:r>
              <w:rPr>
                <w:rFonts w:ascii="Arial" w:cs="Arial" w:eastAsia="Arial" w:hAnsi="Arial"/>
                <w:sz w:val="16"/>
                <w:szCs w:val="16"/>
                <w:b w:val="1"/>
                <w:bCs w:val="1"/>
                <w:color w:val="auto"/>
              </w:rPr>
              <w:t>March 31, 2019</w:t>
            </w:r>
          </w:p>
        </w:tc>
        <w:tc>
          <w:tcPr>
            <w:tcW w:w="60" w:type="dxa"/>
            <w:vAlign w:val="bottom"/>
            <w:tcBorders>
              <w:bottom w:val="single" w:sz="8" w:color="005BA5"/>
            </w:tcBorders>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bottom w:val="single" w:sz="8" w:color="005BA5"/>
            </w:tcBorders>
            <w:gridSpan w:val="3"/>
          </w:tcPr>
          <w:p>
            <w:pPr>
              <w:jc w:val="right"/>
              <w:ind w:right="279"/>
              <w:spacing w:after="0"/>
              <w:rPr>
                <w:sz w:val="20"/>
                <w:szCs w:val="20"/>
                <w:color w:val="auto"/>
              </w:rPr>
            </w:pPr>
            <w:r>
              <w:rPr>
                <w:rFonts w:ascii="Arial" w:cs="Arial" w:eastAsia="Arial" w:hAnsi="Arial"/>
                <w:sz w:val="16"/>
                <w:szCs w:val="16"/>
                <w:b w:val="1"/>
                <w:bCs w:val="1"/>
                <w:color w:val="auto"/>
              </w:rPr>
              <w:t>December 31, 2018</w:t>
            </w:r>
          </w:p>
        </w:tc>
      </w:tr>
      <w:tr>
        <w:trPr>
          <w:trHeight w:val="223"/>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U.S. government and agencies</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ind w:left="5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3,892</w:t>
            </w:r>
          </w:p>
        </w:tc>
        <w:tc>
          <w:tcPr>
            <w:tcW w:w="680" w:type="dxa"/>
            <w:vAlign w:val="bottom"/>
            <w:gridSpan w:val="3"/>
          </w:tcPr>
          <w:p>
            <w:pPr>
              <w:jc w:val="right"/>
              <w:ind w:right="33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5,517</w:t>
            </w:r>
          </w:p>
        </w:tc>
      </w:tr>
      <w:tr>
        <w:trPr>
          <w:trHeight w:val="33"/>
        </w:trPr>
        <w:tc>
          <w:tcPr>
            <w:tcW w:w="5040" w:type="dxa"/>
            <w:vAlign w:val="bottom"/>
            <w:tcBorders>
              <w:bottom w:val="single" w:sz="8" w:color="ACACAC"/>
            </w:tcBorders>
            <w:gridSpan w:val="2"/>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Municipal</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9,169</w:t>
            </w:r>
          </w:p>
        </w:tc>
      </w:tr>
      <w:tr>
        <w:trPr>
          <w:trHeight w:val="33"/>
        </w:trPr>
        <w:tc>
          <w:tcPr>
            <w:tcW w:w="5040" w:type="dxa"/>
            <w:vAlign w:val="bottom"/>
            <w:tcBorders>
              <w:bottom w:val="single" w:sz="8" w:color="ACACAC"/>
            </w:tcBorders>
            <w:gridSpan w:val="2"/>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Corporate</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42,699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40,136</w:t>
            </w:r>
          </w:p>
        </w:tc>
      </w:tr>
      <w:tr>
        <w:trPr>
          <w:trHeight w:val="33"/>
        </w:trPr>
        <w:tc>
          <w:tcPr>
            <w:tcW w:w="5040" w:type="dxa"/>
            <w:vAlign w:val="bottom"/>
            <w:tcBorders>
              <w:bottom w:val="single" w:sz="8" w:color="ACACAC"/>
            </w:tcBorders>
            <w:gridSpan w:val="2"/>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Foreign government</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747</w:t>
            </w:r>
          </w:p>
        </w:tc>
      </w:tr>
      <w:tr>
        <w:trPr>
          <w:trHeight w:val="33"/>
        </w:trPr>
        <w:tc>
          <w:tcPr>
            <w:tcW w:w="5040" w:type="dxa"/>
            <w:vAlign w:val="bottom"/>
            <w:tcBorders>
              <w:bottom w:val="single" w:sz="8" w:color="ACACAC"/>
            </w:tcBorders>
            <w:gridSpan w:val="2"/>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Asset-backed securities (“ABS”)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1,045</w:t>
            </w:r>
          </w:p>
        </w:tc>
      </w:tr>
      <w:tr>
        <w:trPr>
          <w:trHeight w:val="33"/>
        </w:trPr>
        <w:tc>
          <w:tcPr>
            <w:tcW w:w="5040" w:type="dxa"/>
            <w:vAlign w:val="bottom"/>
            <w:tcBorders>
              <w:bottom w:val="single" w:sz="8" w:color="ACACAC"/>
            </w:tcBorders>
            <w:gridSpan w:val="2"/>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Residential mortgage-backed securities (“RMBS”)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464</w:t>
            </w:r>
          </w:p>
        </w:tc>
      </w:tr>
      <w:tr>
        <w:trPr>
          <w:trHeight w:val="33"/>
        </w:trPr>
        <w:tc>
          <w:tcPr>
            <w:tcW w:w="5040" w:type="dxa"/>
            <w:vAlign w:val="bottom"/>
            <w:tcBorders>
              <w:bottom w:val="single" w:sz="8" w:color="ACACAC"/>
            </w:tcBorders>
            <w:gridSpan w:val="2"/>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Commercial mortgage-backed securities (“CMBS”)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70</w:t>
            </w:r>
          </w:p>
        </w:tc>
      </w:tr>
      <w:tr>
        <w:trPr>
          <w:trHeight w:val="33"/>
        </w:trPr>
        <w:tc>
          <w:tcPr>
            <w:tcW w:w="5040" w:type="dxa"/>
            <w:vAlign w:val="bottom"/>
            <w:tcBorders>
              <w:bottom w:val="single" w:sz="8" w:color="ACACAC"/>
            </w:tcBorders>
            <w:gridSpan w:val="2"/>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100" w:type="dxa"/>
            <w:vAlign w:val="bottom"/>
            <w:tcBorders>
              <w:bottom w:val="single" w:sz="8" w:color="ACACAC"/>
            </w:tcBorders>
          </w:tcPr>
          <w:p>
            <w:pPr>
              <w:spacing w:after="0"/>
              <w:rPr>
                <w:sz w:val="2"/>
                <w:szCs w:val="2"/>
                <w:color w:val="auto"/>
              </w:rPr>
            </w:pPr>
          </w:p>
        </w:tc>
        <w:tc>
          <w:tcPr>
            <w:tcW w:w="42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86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CACAC"/>
            </w:tcBorders>
          </w:tcPr>
          <w:p>
            <w:pPr>
              <w:spacing w:after="0"/>
              <w:rPr>
                <w:sz w:val="2"/>
                <w:szCs w:val="2"/>
                <w:color w:val="auto"/>
              </w:rPr>
            </w:pPr>
          </w:p>
        </w:tc>
        <w:tc>
          <w:tcPr>
            <w:tcW w:w="360" w:type="dxa"/>
            <w:vAlign w:val="bottom"/>
            <w:tcBorders>
              <w:bottom w:val="single" w:sz="8" w:color="ACACAC"/>
            </w:tcBorders>
          </w:tcPr>
          <w:p>
            <w:pPr>
              <w:spacing w:after="0"/>
              <w:rPr>
                <w:sz w:val="2"/>
                <w:szCs w:val="2"/>
                <w:color w:val="auto"/>
              </w:rPr>
            </w:pPr>
          </w:p>
        </w:tc>
        <w:tc>
          <w:tcPr>
            <w:tcW w:w="1160" w:type="dxa"/>
            <w:vAlign w:val="bottom"/>
            <w:tcBorders>
              <w:bottom w:val="single" w:sz="8" w:color="ACACAC"/>
            </w:tcBorders>
          </w:tcPr>
          <w:p>
            <w:pPr>
              <w:spacing w:after="0"/>
              <w:rPr>
                <w:sz w:val="2"/>
                <w:szCs w:val="2"/>
                <w:color w:val="auto"/>
              </w:rPr>
            </w:pPr>
          </w:p>
        </w:tc>
      </w:tr>
      <w:tr>
        <w:trPr>
          <w:trHeight w:val="217"/>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Redeemable preferred stock</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5040" w:type="dxa"/>
            <w:vAlign w:val="bottom"/>
            <w:tcBorders>
              <w:bottom w:val="single" w:sz="8" w:color="005BA5"/>
            </w:tcBorders>
            <w:gridSpan w:val="2"/>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36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r>
        <w:trPr>
          <w:trHeight w:val="217"/>
        </w:trPr>
        <w:tc>
          <w:tcPr>
            <w:tcW w:w="504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fixed income securities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58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58,202</w:t>
            </w:r>
          </w:p>
        </w:tc>
        <w:tc>
          <w:tcPr>
            <w:tcW w:w="6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57,170</w:t>
            </w:r>
          </w:p>
        </w:tc>
      </w:tr>
      <w:tr>
        <w:trPr>
          <w:trHeight w:val="33"/>
        </w:trPr>
        <w:tc>
          <w:tcPr>
            <w:tcW w:w="494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100" w:type="dxa"/>
            <w:vAlign w:val="bottom"/>
            <w:tcBorders>
              <w:bottom w:val="single" w:sz="8" w:color="005BA5"/>
            </w:tcBorders>
          </w:tcPr>
          <w:p>
            <w:pPr>
              <w:spacing w:after="0"/>
              <w:rPr>
                <w:sz w:val="2"/>
                <w:szCs w:val="2"/>
                <w:color w:val="auto"/>
              </w:rPr>
            </w:pPr>
          </w:p>
        </w:tc>
        <w:tc>
          <w:tcPr>
            <w:tcW w:w="42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86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005BA5"/>
            </w:tcBorders>
          </w:tcPr>
          <w:p>
            <w:pPr>
              <w:spacing w:after="0"/>
              <w:rPr>
                <w:sz w:val="2"/>
                <w:szCs w:val="2"/>
                <w:color w:val="auto"/>
              </w:rPr>
            </w:pPr>
          </w:p>
        </w:tc>
        <w:tc>
          <w:tcPr>
            <w:tcW w:w="360" w:type="dxa"/>
            <w:vAlign w:val="bottom"/>
            <w:tcBorders>
              <w:bottom w:val="single" w:sz="8" w:color="005BA5"/>
            </w:tcBorders>
          </w:tcPr>
          <w:p>
            <w:pPr>
              <w:spacing w:after="0"/>
              <w:rPr>
                <w:sz w:val="2"/>
                <w:szCs w:val="2"/>
                <w:color w:val="auto"/>
              </w:rPr>
            </w:pPr>
          </w:p>
        </w:tc>
        <w:tc>
          <w:tcPr>
            <w:tcW w:w="1160" w:type="dxa"/>
            <w:vAlign w:val="bottom"/>
            <w:tcBorders>
              <w:bottom w:val="single" w:sz="8" w:color="005BA5"/>
            </w:tcBorders>
          </w:tcPr>
          <w:p>
            <w:pPr>
              <w:spacing w:after="0"/>
              <w:rPr>
                <w:sz w:val="2"/>
                <w:szCs w:val="2"/>
                <w:color w:val="auto"/>
              </w:rPr>
            </w:pPr>
          </w:p>
        </w:tc>
      </w:tr>
    </w:tbl>
    <w:p>
      <w:pPr>
        <w:spacing w:after="0" w:line="110" w:lineRule="exact"/>
        <w:rPr>
          <w:sz w:val="20"/>
          <w:szCs w:val="20"/>
          <w:color w:val="auto"/>
        </w:rPr>
      </w:pPr>
    </w:p>
    <w:p>
      <w:pPr>
        <w:sectPr>
          <w:pgSz w:w="11900" w:h="16838" w:orient="portrait"/>
          <w:cols w:equalWidth="0" w:num="1">
            <w:col w:w="11420"/>
          </w:cols>
          <w:pgMar w:left="240" w:top="141" w:right="239" w:bottom="1440" w:gutter="0" w:footer="0" w:header="0"/>
        </w:sectPr>
      </w:pPr>
    </w:p>
    <w:p>
      <w:pPr>
        <w:ind w:firstLine="324"/>
        <w:spacing w:after="0" w:line="248" w:lineRule="auto"/>
        <w:rPr>
          <w:sz w:val="20"/>
          <w:szCs w:val="20"/>
          <w:color w:val="auto"/>
        </w:rPr>
      </w:pPr>
      <w:r>
        <w:rPr>
          <w:rFonts w:ascii="Arial" w:cs="Arial" w:eastAsia="Arial" w:hAnsi="Arial"/>
          <w:sz w:val="16"/>
          <w:szCs w:val="16"/>
          <w:color w:val="auto"/>
        </w:rPr>
        <w:t>Fixed income securities are rated by third party credit rating agencies and/or are internally rated. As of March 31, 2019, 89.9% of the consolidated fixed income securities portfolio was rated investment grade, which is defined as a security having a rating of Aaa, Aa, A or Baa from Moody’s, a rating of AAA, AA, A or BBB from S&amp;P, a comparable rating from another nationally recognized rating agency, or a comparable internal rating if an externally provided rating is not available. Credit ratings below these designations are considered</w:t>
      </w:r>
    </w:p>
    <w:p>
      <w:pPr>
        <w:spacing w:after="0" w:line="20" w:lineRule="exact"/>
        <w:rPr>
          <w:sz w:val="20"/>
          <w:szCs w:val="20"/>
          <w:color w:val="auto"/>
        </w:rPr>
      </w:pPr>
      <w:r>
        <w:rPr>
          <w:sz w:val="20"/>
          <w:szCs w:val="20"/>
          <w:color w:val="auto"/>
        </w:rPr>
        <w:br w:type="column"/>
      </w:r>
    </w:p>
    <w:p>
      <w:pPr>
        <w:ind w:right="200"/>
        <w:spacing w:after="0" w:line="248" w:lineRule="auto"/>
        <w:rPr>
          <w:sz w:val="20"/>
          <w:szCs w:val="20"/>
          <w:color w:val="auto"/>
        </w:rPr>
      </w:pPr>
      <w:r>
        <w:rPr>
          <w:rFonts w:ascii="Arial" w:cs="Arial" w:eastAsia="Arial" w:hAnsi="Arial"/>
          <w:sz w:val="16"/>
          <w:szCs w:val="16"/>
          <w:color w:val="auto"/>
        </w:rPr>
        <w:t>low credit quality or below investment grade, which includes high yield bonds. Market prices for certain securities may have credit spreads which imply higher or lower credit quality than the current third party rating. Our initial investment decisions and ongoing monitoring procedures for fixed income securities are based on a thorough due diligence process which includes, but is not limited to, an assessment of the credit quality, sector, structure, and liquidity risks of each issue.</w:t>
      </w:r>
    </w:p>
    <w:p>
      <w:pPr>
        <w:spacing w:after="0" w:line="390" w:lineRule="exact"/>
        <w:rPr>
          <w:sz w:val="20"/>
          <w:szCs w:val="20"/>
          <w:color w:val="auto"/>
        </w:rPr>
      </w:pPr>
    </w:p>
    <w:p>
      <w:pPr>
        <w:sectPr>
          <w:pgSz w:w="11900" w:h="16838" w:orient="portrait"/>
          <w:cols w:equalWidth="0" w:num="2">
            <w:col w:w="5440" w:space="500"/>
            <w:col w:w="5480"/>
          </w:cols>
          <w:pgMar w:left="240" w:top="141" w:right="239" w:bottom="1440" w:gutter="0" w:footer="0" w:header="0"/>
          <w:type w:val="continuous"/>
        </w:sectPr>
      </w:pP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84 </w:t>
      </w:r>
      <w:r>
        <w:rPr>
          <w:sz w:val="1"/>
          <w:szCs w:val="1"/>
          <w:color w:val="auto"/>
        </w:rPr>
        <w:drawing>
          <wp:inline distT="0" distB="0" distL="0" distR="0">
            <wp:extent cx="111760" cy="111760"/>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195"/>
        </w:trPr>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1666AF"/>
              </w:rPr>
              <w:t>Investments</w:t>
            </w:r>
          </w:p>
        </w:tc>
      </w:tr>
      <w:tr>
        <w:trPr>
          <w:trHeight w:val="479"/>
        </w:trPr>
        <w:tc>
          <w:tcPr>
            <w:tcW w:w="7740" w:type="dxa"/>
            <w:vAlign w:val="bottom"/>
            <w:tcBorders>
              <w:bottom w:val="single" w:sz="8" w:color="auto"/>
            </w:tcBorders>
            <w:gridSpan w:val="14"/>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30"/>
        </w:trPr>
        <w:tc>
          <w:tcPr>
            <w:tcW w:w="7740" w:type="dxa"/>
            <w:vAlign w:val="bottom"/>
            <w:tcBorders>
              <w:bottom w:val="single" w:sz="8" w:color="auto"/>
            </w:tcBorders>
            <w:gridSpan w:val="14"/>
          </w:tcPr>
          <w:p>
            <w:pPr>
              <w:ind w:left="40"/>
              <w:spacing w:after="0"/>
              <w:rPr>
                <w:sz w:val="20"/>
                <w:szCs w:val="20"/>
                <w:color w:val="auto"/>
              </w:rPr>
            </w:pPr>
            <w:r>
              <w:rPr>
                <w:rFonts w:ascii="Arial" w:cs="Arial" w:eastAsia="Arial" w:hAnsi="Arial"/>
                <w:sz w:val="16"/>
                <w:szCs w:val="16"/>
                <w:b w:val="1"/>
                <w:bCs w:val="1"/>
                <w:color w:val="auto"/>
              </w:rPr>
              <w:t>Fair value and unrealized net capital gains and losses for fixed income securities by credit quality</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37"/>
        </w:trPr>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80" w:type="dxa"/>
            <w:vAlign w:val="bottom"/>
            <w:gridSpan w:val="5"/>
          </w:tcPr>
          <w:p>
            <w:pPr>
              <w:jc w:val="right"/>
              <w:ind w:right="39"/>
              <w:spacing w:after="0"/>
              <w:rPr>
                <w:sz w:val="20"/>
                <w:szCs w:val="20"/>
                <w:color w:val="auto"/>
              </w:rPr>
            </w:pPr>
            <w:r>
              <w:rPr>
                <w:rFonts w:ascii="Arial" w:cs="Arial" w:eastAsia="Arial" w:hAnsi="Arial"/>
                <w:sz w:val="16"/>
                <w:szCs w:val="16"/>
                <w:b w:val="1"/>
                <w:bCs w:val="1"/>
                <w:color w:val="auto"/>
                <w:w w:val="97"/>
              </w:rPr>
              <w:t>As of March 31, 2019</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2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80" w:type="dxa"/>
            <w:vAlign w:val="bottom"/>
            <w:gridSpan w:val="5"/>
          </w:tcPr>
          <w:p>
            <w:pPr>
              <w:ind w:left="340"/>
              <w:spacing w:after="0"/>
              <w:rPr>
                <w:sz w:val="20"/>
                <w:szCs w:val="20"/>
                <w:color w:val="auto"/>
              </w:rPr>
            </w:pPr>
            <w:r>
              <w:rPr>
                <w:rFonts w:ascii="Arial" w:cs="Arial" w:eastAsia="Arial" w:hAnsi="Arial"/>
                <w:sz w:val="16"/>
                <w:szCs w:val="16"/>
                <w:b w:val="1"/>
                <w:bCs w:val="1"/>
                <w:color w:val="auto"/>
              </w:rPr>
              <w:t>Investment grade</w:t>
            </w:r>
          </w:p>
        </w:tc>
        <w:tc>
          <w:tcPr>
            <w:tcW w:w="240" w:type="dxa"/>
            <w:vAlign w:val="bottom"/>
          </w:tcPr>
          <w:p>
            <w:pPr>
              <w:spacing w:after="0"/>
              <w:rPr>
                <w:sz w:val="23"/>
                <w:szCs w:val="23"/>
                <w:color w:val="auto"/>
              </w:rPr>
            </w:pPr>
          </w:p>
        </w:tc>
        <w:tc>
          <w:tcPr>
            <w:tcW w:w="2340" w:type="dxa"/>
            <w:vAlign w:val="bottom"/>
            <w:gridSpan w:val="5"/>
          </w:tcPr>
          <w:p>
            <w:pPr>
              <w:ind w:left="180"/>
              <w:spacing w:after="0"/>
              <w:rPr>
                <w:sz w:val="20"/>
                <w:szCs w:val="20"/>
                <w:color w:val="auto"/>
              </w:rPr>
            </w:pPr>
            <w:r>
              <w:rPr>
                <w:rFonts w:ascii="Arial" w:cs="Arial" w:eastAsia="Arial" w:hAnsi="Arial"/>
                <w:sz w:val="16"/>
                <w:szCs w:val="16"/>
                <w:b w:val="1"/>
                <w:bCs w:val="1"/>
                <w:color w:val="auto"/>
              </w:rPr>
              <w:t>Below investment grade</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20" w:type="dxa"/>
            <w:vAlign w:val="bottom"/>
            <w:gridSpan w:val="5"/>
          </w:tcPr>
          <w:p>
            <w:pPr>
              <w:ind w:left="20"/>
              <w:spacing w:after="0"/>
              <w:rPr>
                <w:sz w:val="20"/>
                <w:szCs w:val="20"/>
                <w:color w:val="auto"/>
              </w:rPr>
            </w:pPr>
            <w:r>
              <w:rPr>
                <w:rFonts w:ascii="Arial" w:cs="Arial" w:eastAsia="Arial" w:hAnsi="Arial"/>
                <w:sz w:val="16"/>
                <w:szCs w:val="16"/>
                <w:b w:val="1"/>
                <w:bCs w:val="1"/>
                <w:color w:val="auto"/>
              </w:rPr>
              <w:t>Total</w:t>
            </w:r>
          </w:p>
        </w:tc>
        <w:tc>
          <w:tcPr>
            <w:tcW w:w="1320" w:type="dxa"/>
            <w:vAlign w:val="bottom"/>
          </w:tcPr>
          <w:p>
            <w:pPr>
              <w:spacing w:after="0"/>
              <w:rPr>
                <w:sz w:val="23"/>
                <w:szCs w:val="23"/>
                <w:color w:val="auto"/>
              </w:rPr>
            </w:pPr>
          </w:p>
        </w:tc>
      </w:tr>
      <w:tr>
        <w:trPr>
          <w:trHeight w:val="33"/>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w:t>
            </w:r>
          </w:p>
        </w:tc>
        <w:tc>
          <w:tcPr>
            <w:tcW w:w="220" w:type="dxa"/>
            <w:vAlign w:val="bottom"/>
          </w:tcPr>
          <w:p>
            <w:pPr>
              <w:spacing w:after="0"/>
              <w:rPr>
                <w:sz w:val="18"/>
                <w:szCs w:val="18"/>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Fair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Unrealized</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Percent rated</w:t>
            </w:r>
          </w:p>
        </w:tc>
      </w:tr>
      <w:tr>
        <w:trPr>
          <w:trHeight w:val="237"/>
        </w:trPr>
        <w:tc>
          <w:tcPr>
            <w:tcW w:w="264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220" w:type="dxa"/>
            <w:vAlign w:val="bottom"/>
            <w:tcBorders>
              <w:bottom w:val="single" w:sz="8" w:color="005BA5"/>
            </w:tcBorders>
          </w:tcPr>
          <w:p>
            <w:pPr>
              <w:spacing w:after="0"/>
              <w:rPr>
                <w:sz w:val="20"/>
                <w:szCs w:val="20"/>
                <w:color w:val="auto"/>
              </w:rPr>
            </w:pPr>
          </w:p>
        </w:tc>
        <w:tc>
          <w:tcPr>
            <w:tcW w:w="840" w:type="dxa"/>
            <w:vAlign w:val="bottom"/>
            <w:tcBorders>
              <w:bottom w:val="single" w:sz="8" w:color="005BA5"/>
            </w:tcBorders>
          </w:tcPr>
          <w:p>
            <w:pPr>
              <w:jc w:val="right"/>
              <w:ind w:right="259"/>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20"/>
                <w:szCs w:val="20"/>
                <w:color w:val="auto"/>
              </w:rPr>
            </w:pPr>
          </w:p>
        </w:tc>
        <w:tc>
          <w:tcPr>
            <w:tcW w:w="140" w:type="dxa"/>
            <w:vAlign w:val="bottom"/>
            <w:tcBorders>
              <w:bottom w:val="single" w:sz="8" w:color="005BA5"/>
            </w:tcBorders>
          </w:tcPr>
          <w:p>
            <w:pPr>
              <w:spacing w:after="0"/>
              <w:rPr>
                <w:sz w:val="20"/>
                <w:szCs w:val="20"/>
                <w:color w:val="auto"/>
              </w:rPr>
            </w:pPr>
          </w:p>
        </w:tc>
        <w:tc>
          <w:tcPr>
            <w:tcW w:w="980" w:type="dxa"/>
            <w:vAlign w:val="bottom"/>
            <w:tcBorders>
              <w:bottom w:val="single" w:sz="8" w:color="005BA5"/>
            </w:tcBorders>
          </w:tcPr>
          <w:p>
            <w:pPr>
              <w:jc w:val="right"/>
              <w:ind w:right="139"/>
              <w:spacing w:after="0"/>
              <w:rPr>
                <w:sz w:val="20"/>
                <w:szCs w:val="20"/>
                <w:color w:val="auto"/>
              </w:rPr>
            </w:pPr>
            <w:r>
              <w:rPr>
                <w:rFonts w:ascii="Arial" w:cs="Arial" w:eastAsia="Arial" w:hAnsi="Arial"/>
                <w:sz w:val="16"/>
                <w:szCs w:val="16"/>
                <w:b w:val="1"/>
                <w:bCs w:val="1"/>
                <w:color w:val="auto"/>
                <w:w w:val="92"/>
              </w:rPr>
              <w:t>gain (loss)</w:t>
            </w:r>
          </w:p>
        </w:tc>
        <w:tc>
          <w:tcPr>
            <w:tcW w:w="100" w:type="dxa"/>
            <w:vAlign w:val="bottom"/>
          </w:tcPr>
          <w:p>
            <w:pPr>
              <w:spacing w:after="0"/>
              <w:rPr>
                <w:sz w:val="20"/>
                <w:szCs w:val="20"/>
                <w:color w:val="auto"/>
              </w:rPr>
            </w:pPr>
          </w:p>
        </w:tc>
        <w:tc>
          <w:tcPr>
            <w:tcW w:w="240" w:type="dxa"/>
            <w:vAlign w:val="bottom"/>
            <w:tcBorders>
              <w:bottom w:val="single" w:sz="8" w:color="005BA5"/>
            </w:tcBorders>
          </w:tcPr>
          <w:p>
            <w:pPr>
              <w:spacing w:after="0"/>
              <w:rPr>
                <w:sz w:val="20"/>
                <w:szCs w:val="20"/>
                <w:color w:val="auto"/>
              </w:rPr>
            </w:pPr>
          </w:p>
        </w:tc>
        <w:tc>
          <w:tcPr>
            <w:tcW w:w="880" w:type="dxa"/>
            <w:vAlign w:val="bottom"/>
            <w:tcBorders>
              <w:bottom w:val="single" w:sz="8" w:color="005BA5"/>
            </w:tcBorders>
          </w:tcPr>
          <w:p>
            <w:pPr>
              <w:jc w:val="right"/>
              <w:ind w:right="279"/>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20"/>
                <w:szCs w:val="20"/>
                <w:color w:val="auto"/>
              </w:rPr>
            </w:pPr>
          </w:p>
        </w:tc>
        <w:tc>
          <w:tcPr>
            <w:tcW w:w="18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ind w:right="199"/>
              <w:spacing w:after="0"/>
              <w:rPr>
                <w:sz w:val="20"/>
                <w:szCs w:val="20"/>
                <w:color w:val="auto"/>
              </w:rPr>
            </w:pPr>
            <w:r>
              <w:rPr>
                <w:rFonts w:ascii="Arial" w:cs="Arial" w:eastAsia="Arial" w:hAnsi="Arial"/>
                <w:sz w:val="16"/>
                <w:szCs w:val="16"/>
                <w:b w:val="1"/>
                <w:bCs w:val="1"/>
                <w:color w:val="auto"/>
                <w:w w:val="94"/>
              </w:rPr>
              <w:t>gain (loss)</w:t>
            </w:r>
          </w:p>
        </w:tc>
        <w:tc>
          <w:tcPr>
            <w:tcW w:w="100" w:type="dxa"/>
            <w:vAlign w:val="bottom"/>
          </w:tcPr>
          <w:p>
            <w:pPr>
              <w:spacing w:after="0"/>
              <w:rPr>
                <w:sz w:val="20"/>
                <w:szCs w:val="20"/>
                <w:color w:val="auto"/>
              </w:rPr>
            </w:pPr>
          </w:p>
        </w:tc>
        <w:tc>
          <w:tcPr>
            <w:tcW w:w="220" w:type="dxa"/>
            <w:vAlign w:val="bottom"/>
            <w:tcBorders>
              <w:bottom w:val="single" w:sz="8" w:color="005BA5"/>
            </w:tcBorders>
          </w:tcPr>
          <w:p>
            <w:pPr>
              <w:spacing w:after="0"/>
              <w:rPr>
                <w:sz w:val="20"/>
                <w:szCs w:val="20"/>
                <w:color w:val="auto"/>
              </w:rPr>
            </w:pPr>
          </w:p>
        </w:tc>
        <w:tc>
          <w:tcPr>
            <w:tcW w:w="720" w:type="dxa"/>
            <w:vAlign w:val="bottom"/>
            <w:tcBorders>
              <w:bottom w:val="single" w:sz="8" w:color="005BA5"/>
            </w:tcBorders>
          </w:tcPr>
          <w:p>
            <w:pPr>
              <w:jc w:val="right"/>
              <w:ind w:right="159"/>
              <w:spacing w:after="0"/>
              <w:rPr>
                <w:sz w:val="20"/>
                <w:szCs w:val="20"/>
                <w:color w:val="auto"/>
              </w:rPr>
            </w:pPr>
            <w:r>
              <w:rPr>
                <w:rFonts w:ascii="Arial" w:cs="Arial" w:eastAsia="Arial" w:hAnsi="Arial"/>
                <w:sz w:val="16"/>
                <w:szCs w:val="16"/>
                <w:b w:val="1"/>
                <w:bCs w:val="1"/>
                <w:color w:val="auto"/>
              </w:rPr>
              <w:t>value</w:t>
            </w:r>
          </w:p>
        </w:tc>
        <w:tc>
          <w:tcPr>
            <w:tcW w:w="80" w:type="dxa"/>
            <w:vAlign w:val="bottom"/>
            <w:tcBorders>
              <w:bottom w:val="single" w:sz="8" w:color="005BA5"/>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005BA5"/>
            </w:tcBorders>
          </w:tcPr>
          <w:p>
            <w:pPr>
              <w:spacing w:after="0"/>
              <w:rPr>
                <w:sz w:val="20"/>
                <w:szCs w:val="20"/>
                <w:color w:val="auto"/>
              </w:rPr>
            </w:pPr>
          </w:p>
        </w:tc>
        <w:tc>
          <w:tcPr>
            <w:tcW w:w="960" w:type="dxa"/>
            <w:vAlign w:val="bottom"/>
            <w:tcBorders>
              <w:bottom w:val="single" w:sz="8" w:color="005BA5"/>
            </w:tcBorders>
          </w:tcPr>
          <w:p>
            <w:pPr>
              <w:jc w:val="right"/>
              <w:ind w:right="119"/>
              <w:spacing w:after="0"/>
              <w:rPr>
                <w:sz w:val="20"/>
                <w:szCs w:val="20"/>
                <w:color w:val="auto"/>
              </w:rPr>
            </w:pPr>
            <w:r>
              <w:rPr>
                <w:rFonts w:ascii="Arial" w:cs="Arial" w:eastAsia="Arial" w:hAnsi="Arial"/>
                <w:sz w:val="16"/>
                <w:szCs w:val="16"/>
                <w:b w:val="1"/>
                <w:bCs w:val="1"/>
                <w:color w:val="auto"/>
                <w:w w:val="92"/>
              </w:rPr>
              <w:t>gain (loss)</w:t>
            </w:r>
          </w:p>
        </w:tc>
        <w:tc>
          <w:tcPr>
            <w:tcW w:w="120" w:type="dxa"/>
            <w:vAlign w:val="bottom"/>
          </w:tcPr>
          <w:p>
            <w:pPr>
              <w:spacing w:after="0"/>
              <w:rPr>
                <w:sz w:val="20"/>
                <w:szCs w:val="20"/>
                <w:color w:val="auto"/>
              </w:rPr>
            </w:pPr>
          </w:p>
        </w:tc>
        <w:tc>
          <w:tcPr>
            <w:tcW w:w="1320" w:type="dxa"/>
            <w:vAlign w:val="bottom"/>
            <w:tcBorders>
              <w:bottom w:val="single" w:sz="8" w:color="005BA5"/>
            </w:tcBorders>
          </w:tcPr>
          <w:p>
            <w:pPr>
              <w:jc w:val="right"/>
              <w:spacing w:after="0"/>
              <w:rPr>
                <w:sz w:val="20"/>
                <w:szCs w:val="20"/>
                <w:color w:val="auto"/>
              </w:rPr>
            </w:pPr>
            <w:r>
              <w:rPr>
                <w:rFonts w:ascii="Arial" w:cs="Arial" w:eastAsia="Arial" w:hAnsi="Arial"/>
                <w:sz w:val="16"/>
                <w:szCs w:val="16"/>
                <w:b w:val="1"/>
                <w:bCs w:val="1"/>
                <w:color w:val="auto"/>
                <w:w w:val="93"/>
              </w:rPr>
              <w:t>investment grade</w:t>
            </w:r>
          </w:p>
        </w:tc>
      </w:tr>
      <w:tr>
        <w:trPr>
          <w:trHeight w:val="223"/>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U.S. government and agencies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3,892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3,892</w:t>
            </w:r>
          </w:p>
        </w:tc>
        <w:tc>
          <w:tcPr>
            <w:tcW w:w="34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2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r>
      <w:tr>
        <w:trPr>
          <w:trHeight w:val="231"/>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Municipal</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2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r>
      <w:tr>
        <w:trPr>
          <w:trHeight w:val="217"/>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Tax exempt</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99.6%</w:t>
            </w:r>
          </w:p>
        </w:tc>
      </w:tr>
      <w:tr>
        <w:trPr>
          <w:trHeight w:val="33"/>
        </w:trPr>
        <w:tc>
          <w:tcPr>
            <w:tcW w:w="2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r>
      <w:tr>
        <w:trPr>
          <w:trHeight w:val="217"/>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Taxable</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2,093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98.2%</w:t>
            </w:r>
          </w:p>
        </w:tc>
      </w:tr>
      <w:tr>
        <w:trPr>
          <w:trHeight w:val="33"/>
        </w:trPr>
        <w:tc>
          <w:tcPr>
            <w:tcW w:w="2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005BA5"/>
            </w:tcBorders>
          </w:tcPr>
          <w:p>
            <w:pPr>
              <w:spacing w:after="0"/>
              <w:rPr>
                <w:sz w:val="2"/>
                <w:szCs w:val="2"/>
                <w:color w:val="auto"/>
              </w:rPr>
            </w:pPr>
          </w:p>
        </w:tc>
      </w:tr>
      <w:tr>
        <w:trPr>
          <w:trHeight w:val="21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Total Municipal</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9,195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9,264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385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99.3%</w:t>
            </w:r>
          </w:p>
        </w:tc>
      </w:tr>
      <w:tr>
        <w:trPr>
          <w:trHeight w:val="33"/>
        </w:trPr>
        <w:tc>
          <w:tcPr>
            <w:tcW w:w="2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005BA5"/>
            </w:tcBorders>
          </w:tcPr>
          <w:p>
            <w:pPr>
              <w:spacing w:after="0"/>
              <w:rPr>
                <w:sz w:val="2"/>
                <w:szCs w:val="2"/>
                <w:color w:val="auto"/>
              </w:rPr>
            </w:pPr>
          </w:p>
        </w:tc>
      </w:tr>
      <w:tr>
        <w:trPr>
          <w:trHeight w:val="231"/>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Corporate</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2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r>
      <w:tr>
        <w:trPr>
          <w:trHeight w:val="217"/>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Public</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28,061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31,072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90.3%</w:t>
            </w:r>
          </w:p>
        </w:tc>
      </w:tr>
      <w:tr>
        <w:trPr>
          <w:trHeight w:val="33"/>
        </w:trPr>
        <w:tc>
          <w:tcPr>
            <w:tcW w:w="2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r>
      <w:tr>
        <w:trPr>
          <w:trHeight w:val="217"/>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Privately placed</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9,278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11,627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79.8%</w:t>
            </w:r>
          </w:p>
        </w:tc>
      </w:tr>
      <w:tr>
        <w:trPr>
          <w:trHeight w:val="33"/>
        </w:trPr>
        <w:tc>
          <w:tcPr>
            <w:tcW w:w="2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005BA5"/>
            </w:tcBorders>
          </w:tcPr>
          <w:p>
            <w:pPr>
              <w:spacing w:after="0"/>
              <w:rPr>
                <w:sz w:val="2"/>
                <w:szCs w:val="2"/>
                <w:color w:val="auto"/>
              </w:rPr>
            </w:pPr>
          </w:p>
        </w:tc>
      </w:tr>
      <w:tr>
        <w:trPr>
          <w:trHeight w:val="21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Total Corporate</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37,339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5,360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42,699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87.4%</w:t>
            </w:r>
          </w:p>
        </w:tc>
      </w:tr>
      <w:tr>
        <w:trPr>
          <w:trHeight w:val="33"/>
        </w:trPr>
        <w:tc>
          <w:tcPr>
            <w:tcW w:w="2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005BA5"/>
            </w:tcBorders>
          </w:tcPr>
          <w:p>
            <w:pPr>
              <w:spacing w:after="0"/>
              <w:rPr>
                <w:sz w:val="2"/>
                <w:szCs w:val="2"/>
                <w:color w:val="auto"/>
              </w:rPr>
            </w:pPr>
          </w:p>
        </w:tc>
      </w:tr>
      <w:tr>
        <w:trPr>
          <w:trHeight w:val="21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Foreign government</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98.9%</w:t>
            </w:r>
          </w:p>
        </w:tc>
      </w:tr>
      <w:tr>
        <w:trPr>
          <w:trHeight w:val="33"/>
        </w:trPr>
        <w:tc>
          <w:tcPr>
            <w:tcW w:w="2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r>
      <w:tr>
        <w:trPr>
          <w:trHeight w:val="231"/>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ABS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2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r>
      <w:tr>
        <w:trPr>
          <w:trHeight w:val="213"/>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Collateralized debt obligations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6"/>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(“CDO”)</w:t>
            </w:r>
          </w:p>
        </w:tc>
        <w:tc>
          <w:tcPr>
            <w:tcW w:w="22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91.0%</w:t>
            </w:r>
          </w:p>
        </w:tc>
      </w:tr>
      <w:tr>
        <w:trPr>
          <w:trHeight w:val="33"/>
        </w:trPr>
        <w:tc>
          <w:tcPr>
            <w:tcW w:w="2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r>
      <w:tr>
        <w:trPr>
          <w:trHeight w:val="213"/>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Consumer and other asset-backed</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2"/>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securities (“Consumer and other</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40"/>
        </w:trPr>
        <w:tc>
          <w:tcPr>
            <w:tcW w:w="2640" w:type="dxa"/>
            <w:vAlign w:val="bottom"/>
            <w:tcBorders>
              <w:bottom w:val="single" w:sz="8" w:color="005BA5"/>
            </w:tcBorders>
          </w:tcPr>
          <w:p>
            <w:pPr>
              <w:ind w:left="180"/>
              <w:spacing w:after="0" w:line="240" w:lineRule="exact"/>
              <w:rPr>
                <w:sz w:val="20"/>
                <w:szCs w:val="20"/>
                <w:color w:val="auto"/>
              </w:rPr>
            </w:pPr>
            <w:r>
              <w:rPr>
                <w:rFonts w:ascii="Arial" w:cs="Arial" w:eastAsia="Arial" w:hAnsi="Arial"/>
                <w:sz w:val="16"/>
                <w:szCs w:val="16"/>
                <w:color w:val="auto"/>
              </w:rPr>
              <w:t xml:space="preserve">ABS”) </w:t>
            </w:r>
            <w:r>
              <w:rPr>
                <w:rFonts w:ascii="Arial" w:cs="Arial" w:eastAsia="Arial" w:hAnsi="Arial"/>
                <w:sz w:val="27"/>
                <w:szCs w:val="27"/>
                <w:color w:val="005BA5"/>
                <w:vertAlign w:val="superscript"/>
              </w:rPr>
              <w:t>(1)</w:t>
            </w:r>
          </w:p>
        </w:tc>
        <w:tc>
          <w:tcPr>
            <w:tcW w:w="120" w:type="dxa"/>
            <w:vAlign w:val="bottom"/>
          </w:tcPr>
          <w:p>
            <w:pPr>
              <w:spacing w:after="0"/>
              <w:rPr>
                <w:sz w:val="20"/>
                <w:szCs w:val="20"/>
                <w:color w:val="auto"/>
              </w:rPr>
            </w:pPr>
          </w:p>
        </w:tc>
        <w:tc>
          <w:tcPr>
            <w:tcW w:w="220" w:type="dxa"/>
            <w:vAlign w:val="bottom"/>
            <w:tcBorders>
              <w:bottom w:val="single" w:sz="8" w:color="005BA5"/>
            </w:tcBorders>
          </w:tcPr>
          <w:p>
            <w:pPr>
              <w:spacing w:after="0"/>
              <w:rPr>
                <w:sz w:val="20"/>
                <w:szCs w:val="20"/>
                <w:color w:val="auto"/>
              </w:rPr>
            </w:pPr>
          </w:p>
        </w:tc>
        <w:tc>
          <w:tcPr>
            <w:tcW w:w="840" w:type="dxa"/>
            <w:vAlign w:val="bottom"/>
            <w:tcBorders>
              <w:bottom w:val="single" w:sz="8" w:color="005BA5"/>
            </w:tcBorders>
          </w:tcPr>
          <w:p>
            <w:pPr>
              <w:jc w:val="right"/>
              <w:ind w:right="39"/>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20"/>
                <w:szCs w:val="20"/>
                <w:color w:val="auto"/>
              </w:rPr>
            </w:pPr>
          </w:p>
        </w:tc>
        <w:tc>
          <w:tcPr>
            <w:tcW w:w="140" w:type="dxa"/>
            <w:vAlign w:val="bottom"/>
            <w:tcBorders>
              <w:bottom w:val="single" w:sz="8" w:color="005BA5"/>
            </w:tcBorders>
          </w:tcPr>
          <w:p>
            <w:pPr>
              <w:spacing w:after="0"/>
              <w:rPr>
                <w:sz w:val="20"/>
                <w:szCs w:val="20"/>
                <w:color w:val="auto"/>
              </w:rPr>
            </w:pPr>
          </w:p>
        </w:tc>
        <w:tc>
          <w:tcPr>
            <w:tcW w:w="98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40" w:type="dxa"/>
            <w:vAlign w:val="bottom"/>
            <w:tcBorders>
              <w:bottom w:val="single" w:sz="8" w:color="005BA5"/>
            </w:tcBorders>
          </w:tcPr>
          <w:p>
            <w:pPr>
              <w:spacing w:after="0"/>
              <w:rPr>
                <w:sz w:val="20"/>
                <w:szCs w:val="20"/>
                <w:color w:val="auto"/>
              </w:rPr>
            </w:pPr>
          </w:p>
        </w:tc>
        <w:tc>
          <w:tcPr>
            <w:tcW w:w="88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Borders>
              <w:bottom w:val="single" w:sz="8" w:color="005BA5"/>
            </w:tcBorders>
          </w:tcPr>
          <w:p>
            <w:pPr>
              <w:spacing w:after="0"/>
              <w:rPr>
                <w:sz w:val="20"/>
                <w:szCs w:val="20"/>
                <w:color w:val="auto"/>
              </w:rPr>
            </w:pPr>
          </w:p>
        </w:tc>
        <w:tc>
          <w:tcPr>
            <w:tcW w:w="106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Borders>
              <w:bottom w:val="single" w:sz="8" w:color="005BA5"/>
            </w:tcBorders>
          </w:tcPr>
          <w:p>
            <w:pPr>
              <w:spacing w:after="0"/>
              <w:rPr>
                <w:sz w:val="20"/>
                <w:szCs w:val="20"/>
                <w:color w:val="auto"/>
              </w:rPr>
            </w:pPr>
          </w:p>
        </w:tc>
        <w:tc>
          <w:tcPr>
            <w:tcW w:w="72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802</w:t>
            </w:r>
          </w:p>
        </w:tc>
        <w:tc>
          <w:tcPr>
            <w:tcW w:w="80" w:type="dxa"/>
            <w:vAlign w:val="bottom"/>
            <w:tcBorders>
              <w:bottom w:val="single" w:sz="8" w:color="005BA5"/>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005BA5"/>
            </w:tcBorders>
          </w:tcPr>
          <w:p>
            <w:pPr>
              <w:spacing w:after="0"/>
              <w:rPr>
                <w:sz w:val="20"/>
                <w:szCs w:val="20"/>
                <w:color w:val="auto"/>
              </w:rPr>
            </w:pPr>
          </w:p>
        </w:tc>
        <w:tc>
          <w:tcPr>
            <w:tcW w:w="960" w:type="dxa"/>
            <w:vAlign w:val="bottom"/>
            <w:tcBorders>
              <w:bottom w:val="single" w:sz="8" w:color="005BA5"/>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32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96.8%</w:t>
            </w:r>
          </w:p>
        </w:tc>
      </w:tr>
      <w:tr>
        <w:trPr>
          <w:trHeight w:val="21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Total ABS</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95.4%</w:t>
            </w:r>
          </w:p>
        </w:tc>
      </w:tr>
      <w:tr>
        <w:trPr>
          <w:trHeight w:val="33"/>
        </w:trPr>
        <w:tc>
          <w:tcPr>
            <w:tcW w:w="2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005BA5"/>
            </w:tcBorders>
          </w:tcPr>
          <w:p>
            <w:pPr>
              <w:spacing w:after="0"/>
              <w:rPr>
                <w:sz w:val="2"/>
                <w:szCs w:val="2"/>
                <w:color w:val="auto"/>
              </w:rPr>
            </w:pPr>
          </w:p>
        </w:tc>
      </w:tr>
      <w:tr>
        <w:trPr>
          <w:trHeight w:val="231"/>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RMBS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3"/>
        </w:trPr>
        <w:tc>
          <w:tcPr>
            <w:tcW w:w="2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r>
      <w:tr>
        <w:trPr>
          <w:trHeight w:val="213"/>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U.S. government sponsored entities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6"/>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(“U.S. Agency”)</w:t>
            </w:r>
          </w:p>
        </w:tc>
        <w:tc>
          <w:tcPr>
            <w:tcW w:w="220" w:type="dxa"/>
            <w:vAlign w:val="bottom"/>
          </w:tcPr>
          <w:p>
            <w:pPr>
              <w:spacing w:after="0"/>
              <w:rPr>
                <w:sz w:val="17"/>
                <w:szCs w:val="17"/>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2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r>
      <w:tr>
        <w:trPr>
          <w:trHeight w:val="217"/>
        </w:trPr>
        <w:tc>
          <w:tcPr>
            <w:tcW w:w="2760" w:type="dxa"/>
            <w:vAlign w:val="bottom"/>
            <w:gridSpan w:val="2"/>
          </w:tcPr>
          <w:p>
            <w:pPr>
              <w:ind w:left="180"/>
              <w:spacing w:after="0"/>
              <w:rPr>
                <w:sz w:val="20"/>
                <w:szCs w:val="20"/>
                <w:color w:val="auto"/>
              </w:rPr>
            </w:pPr>
            <w:r>
              <w:rPr>
                <w:rFonts w:ascii="Arial" w:cs="Arial" w:eastAsia="Arial" w:hAnsi="Arial"/>
                <w:sz w:val="16"/>
                <w:szCs w:val="16"/>
                <w:color w:val="auto"/>
              </w:rPr>
              <w:t>Non-agency</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3"/>
        </w:trPr>
        <w:tc>
          <w:tcPr>
            <w:tcW w:w="2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005BA5"/>
            </w:tcBorders>
          </w:tcPr>
          <w:p>
            <w:pPr>
              <w:spacing w:after="0"/>
              <w:rPr>
                <w:sz w:val="2"/>
                <w:szCs w:val="2"/>
                <w:color w:val="auto"/>
              </w:rPr>
            </w:pPr>
          </w:p>
        </w:tc>
      </w:tr>
      <w:tr>
        <w:trPr>
          <w:trHeight w:val="21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Total RMBS</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33"/>
        </w:trPr>
        <w:tc>
          <w:tcPr>
            <w:tcW w:w="2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005BA5"/>
            </w:tcBorders>
          </w:tcPr>
          <w:p>
            <w:pPr>
              <w:spacing w:after="0"/>
              <w:rPr>
                <w:sz w:val="2"/>
                <w:szCs w:val="2"/>
                <w:color w:val="auto"/>
              </w:rPr>
            </w:pPr>
          </w:p>
        </w:tc>
      </w:tr>
      <w:tr>
        <w:trPr>
          <w:trHeight w:val="21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CMBS</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49.3%</w:t>
            </w:r>
          </w:p>
        </w:tc>
      </w:tr>
      <w:tr>
        <w:trPr>
          <w:trHeight w:val="33"/>
        </w:trPr>
        <w:tc>
          <w:tcPr>
            <w:tcW w:w="26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8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8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CACAC"/>
            </w:tcBorders>
          </w:tcPr>
          <w:p>
            <w:pPr>
              <w:spacing w:after="0"/>
              <w:rPr>
                <w:sz w:val="2"/>
                <w:szCs w:val="2"/>
                <w:color w:val="auto"/>
              </w:rPr>
            </w:pPr>
          </w:p>
        </w:tc>
        <w:tc>
          <w:tcPr>
            <w:tcW w:w="720" w:type="dxa"/>
            <w:vAlign w:val="bottom"/>
            <w:tcBorders>
              <w:bottom w:val="single" w:sz="8" w:color="ACACAC"/>
            </w:tcBorders>
          </w:tcPr>
          <w:p>
            <w:pPr>
              <w:spacing w:after="0"/>
              <w:rPr>
                <w:sz w:val="2"/>
                <w:szCs w:val="2"/>
                <w:color w:val="auto"/>
              </w:rPr>
            </w:pPr>
          </w:p>
        </w:tc>
        <w:tc>
          <w:tcPr>
            <w:tcW w:w="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CACAC"/>
            </w:tcBorders>
          </w:tcPr>
          <w:p>
            <w:pPr>
              <w:spacing w:after="0"/>
              <w:rPr>
                <w:sz w:val="2"/>
                <w:szCs w:val="2"/>
                <w:color w:val="auto"/>
              </w:rPr>
            </w:pPr>
          </w:p>
        </w:tc>
      </w:tr>
      <w:tr>
        <w:trPr>
          <w:trHeight w:val="217"/>
        </w:trPr>
        <w:tc>
          <w:tcPr>
            <w:tcW w:w="2760" w:type="dxa"/>
            <w:vAlign w:val="bottom"/>
            <w:gridSpan w:val="2"/>
          </w:tcPr>
          <w:p>
            <w:pPr>
              <w:ind w:left="40"/>
              <w:spacing w:after="0"/>
              <w:rPr>
                <w:sz w:val="20"/>
                <w:szCs w:val="20"/>
                <w:color w:val="auto"/>
              </w:rPr>
            </w:pPr>
            <w:r>
              <w:rPr>
                <w:rFonts w:ascii="Arial" w:cs="Arial" w:eastAsia="Arial" w:hAnsi="Arial"/>
                <w:sz w:val="16"/>
                <w:szCs w:val="16"/>
                <w:color w:val="auto"/>
              </w:rPr>
              <w:t>Redeemable preferred stock</w:t>
            </w:r>
          </w:p>
        </w:tc>
        <w:tc>
          <w:tcPr>
            <w:tcW w:w="2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2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005BA5"/>
            </w:tcBorders>
          </w:tcPr>
          <w:p>
            <w:pPr>
              <w:spacing w:after="0"/>
              <w:rPr>
                <w:sz w:val="2"/>
                <w:szCs w:val="2"/>
                <w:color w:val="auto"/>
              </w:rPr>
            </w:pPr>
          </w:p>
        </w:tc>
      </w:tr>
      <w:tr>
        <w:trPr>
          <w:trHeight w:val="217"/>
        </w:trPr>
        <w:tc>
          <w:tcPr>
            <w:tcW w:w="27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fixed income securities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52,347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1,248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b w:val="1"/>
                <w:bCs w:val="1"/>
                <w:color w:val="auto"/>
              </w:rPr>
              <w:t>5,855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123</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58,202</w:t>
            </w:r>
          </w:p>
        </w:tc>
        <w:tc>
          <w:tcPr>
            <w:tcW w:w="3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b w:val="1"/>
                <w:bCs w:val="1"/>
                <w:color w:val="auto"/>
              </w:rPr>
              <w:t>1,371</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89.9%</w:t>
            </w:r>
          </w:p>
        </w:tc>
      </w:tr>
      <w:tr>
        <w:trPr>
          <w:trHeight w:val="33"/>
        </w:trPr>
        <w:tc>
          <w:tcPr>
            <w:tcW w:w="26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8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005BA5"/>
            </w:tcBorders>
          </w:tcPr>
          <w:p>
            <w:pPr>
              <w:spacing w:after="0"/>
              <w:rPr>
                <w:sz w:val="2"/>
                <w:szCs w:val="2"/>
                <w:color w:val="auto"/>
              </w:rPr>
            </w:pPr>
          </w:p>
        </w:tc>
        <w:tc>
          <w:tcPr>
            <w:tcW w:w="9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8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005BA5"/>
            </w:tcBorders>
          </w:tcPr>
          <w:p>
            <w:pPr>
              <w:spacing w:after="0"/>
              <w:rPr>
                <w:sz w:val="2"/>
                <w:szCs w:val="2"/>
                <w:color w:val="auto"/>
              </w:rPr>
            </w:pPr>
          </w:p>
        </w:tc>
        <w:tc>
          <w:tcPr>
            <w:tcW w:w="720" w:type="dxa"/>
            <w:vAlign w:val="bottom"/>
            <w:tcBorders>
              <w:bottom w:val="single" w:sz="8" w:color="005BA5"/>
            </w:tcBorders>
          </w:tcPr>
          <w:p>
            <w:pPr>
              <w:spacing w:after="0"/>
              <w:rPr>
                <w:sz w:val="2"/>
                <w:szCs w:val="2"/>
                <w:color w:val="auto"/>
              </w:rPr>
            </w:pPr>
          </w:p>
        </w:tc>
        <w:tc>
          <w:tcPr>
            <w:tcW w:w="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005BA5"/>
            </w:tcBorders>
          </w:tcPr>
          <w:p>
            <w:pPr>
              <w:spacing w:after="0"/>
              <w:rPr>
                <w:sz w:val="2"/>
                <w:szCs w:val="2"/>
                <w:color w:val="auto"/>
              </w:rPr>
            </w:pPr>
          </w:p>
        </w:tc>
        <w:tc>
          <w:tcPr>
            <w:tcW w:w="9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005BA5"/>
            </w:tcBorders>
          </w:tcPr>
          <w:p>
            <w:pPr>
              <w:spacing w:after="0"/>
              <w:rPr>
                <w:sz w:val="2"/>
                <w:szCs w:val="2"/>
                <w:color w:val="auto"/>
              </w:rPr>
            </w:pPr>
          </w:p>
        </w:tc>
      </w:tr>
    </w:tbl>
    <w:p>
      <w:pPr>
        <w:spacing w:after="0" w:line="103" w:lineRule="exact"/>
        <w:rPr>
          <w:sz w:val="20"/>
          <w:szCs w:val="20"/>
          <w:color w:val="auto"/>
        </w:rPr>
      </w:pPr>
    </w:p>
    <w:p>
      <w:pPr>
        <w:ind w:left="280" w:right="40" w:hanging="191"/>
        <w:spacing w:after="0" w:line="201" w:lineRule="auto"/>
        <w:tabs>
          <w:tab w:leader="none" w:pos="280" w:val="left"/>
        </w:tabs>
        <w:numPr>
          <w:ilvl w:val="0"/>
          <w:numId w:val="83"/>
        </w:numPr>
        <w:rPr>
          <w:rFonts w:ascii="Arial" w:cs="Arial" w:eastAsia="Arial" w:hAnsi="Arial"/>
          <w:sz w:val="23"/>
          <w:szCs w:val="23"/>
          <w:color w:val="005BA5"/>
          <w:vertAlign w:val="superscript"/>
        </w:rPr>
      </w:pPr>
      <w:r>
        <w:rPr>
          <w:rFonts w:ascii="Arial" w:cs="Arial" w:eastAsia="Arial" w:hAnsi="Arial"/>
          <w:sz w:val="14"/>
          <w:szCs w:val="14"/>
          <w:color w:val="auto"/>
        </w:rPr>
        <w:t>Total Consumer and other ABS consists of $265 million of consumer auto, $214 million of credit card and $323 million of other ABS with unrealized net capital gains of zero, zero and $1 million, respectively.</w:t>
      </w:r>
    </w:p>
    <w:p>
      <w:pPr>
        <w:sectPr>
          <w:pgSz w:w="11900" w:h="16838" w:orient="portrait"/>
          <w:cols w:equalWidth="0" w:num="1">
            <w:col w:w="11420"/>
          </w:cols>
          <w:pgMar w:left="240" w:top="141" w:right="239" w:bottom="1440" w:gutter="0" w:footer="0" w:header="0"/>
        </w:sectPr>
      </w:pPr>
    </w:p>
    <w:p>
      <w:pPr>
        <w:spacing w:after="0" w:line="94" w:lineRule="exact"/>
        <w:rPr>
          <w:sz w:val="20"/>
          <w:szCs w:val="20"/>
          <w:color w:val="auto"/>
        </w:rPr>
      </w:pPr>
    </w:p>
    <w:p>
      <w:pPr>
        <w:ind w:right="140" w:firstLine="324"/>
        <w:spacing w:after="0" w:line="258" w:lineRule="auto"/>
        <w:rPr>
          <w:sz w:val="20"/>
          <w:szCs w:val="20"/>
          <w:color w:val="auto"/>
        </w:rPr>
      </w:pPr>
      <w:r>
        <w:rPr>
          <w:rFonts w:ascii="Arial" w:cs="Arial" w:eastAsia="Arial" w:hAnsi="Arial"/>
          <w:sz w:val="16"/>
          <w:szCs w:val="16"/>
          <w:i w:val="1"/>
          <w:iCs w:val="1"/>
          <w:color w:val="1666AF"/>
        </w:rPr>
        <w:t xml:space="preserve">Municipal bonds </w:t>
      </w:r>
      <w:r>
        <w:rPr>
          <w:rFonts w:ascii="Arial" w:cs="Arial" w:eastAsia="Arial" w:hAnsi="Arial"/>
          <w:sz w:val="16"/>
          <w:szCs w:val="16"/>
          <w:color w:val="000000"/>
        </w:rPr>
        <w:t>include general obligations of state and local issuers</w:t>
      </w:r>
      <w:r>
        <w:rPr>
          <w:rFonts w:ascii="Arial" w:cs="Arial" w:eastAsia="Arial" w:hAnsi="Arial"/>
          <w:sz w:val="16"/>
          <w:szCs w:val="16"/>
          <w:i w:val="1"/>
          <w:iCs w:val="1"/>
          <w:color w:val="1666AF"/>
        </w:rPr>
        <w:t xml:space="preserve"> </w:t>
      </w:r>
      <w:r>
        <w:rPr>
          <w:rFonts w:ascii="Arial" w:cs="Arial" w:eastAsia="Arial" w:hAnsi="Arial"/>
          <w:sz w:val="16"/>
          <w:szCs w:val="16"/>
          <w:color w:val="000000"/>
        </w:rPr>
        <w:t>and revenue bonds (including pre-refunded bonds, which are bonds for which an irrevocable trust has been established to fund the remaining payments of principal and interest).</w:t>
      </w:r>
    </w:p>
    <w:p>
      <w:pPr>
        <w:spacing w:after="0" w:line="73"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i w:val="1"/>
          <w:iCs w:val="1"/>
          <w:color w:val="1666AF"/>
        </w:rPr>
        <w:t xml:space="preserve">Corporate bonds </w:t>
      </w:r>
      <w:r>
        <w:rPr>
          <w:rFonts w:ascii="Arial" w:cs="Arial" w:eastAsia="Arial" w:hAnsi="Arial"/>
          <w:sz w:val="16"/>
          <w:szCs w:val="16"/>
          <w:color w:val="000000"/>
        </w:rPr>
        <w:t>include publicly traded and privately placed securities.</w:t>
      </w:r>
      <w:r>
        <w:rPr>
          <w:rFonts w:ascii="Arial" w:cs="Arial" w:eastAsia="Arial" w:hAnsi="Arial"/>
          <w:sz w:val="16"/>
          <w:szCs w:val="16"/>
          <w:i w:val="1"/>
          <w:iCs w:val="1"/>
          <w:color w:val="1666AF"/>
        </w:rPr>
        <w:t xml:space="preserve"> </w:t>
      </w:r>
      <w:r>
        <w:rPr>
          <w:rFonts w:ascii="Arial" w:cs="Arial" w:eastAsia="Arial" w:hAnsi="Arial"/>
          <w:sz w:val="16"/>
          <w:szCs w:val="16"/>
          <w:color w:val="000000"/>
        </w:rPr>
        <w:t>Privately placed securities primarily consist of corporate issued senior debt securities that are directly negotiated with the borrower or are in unregistered form.</w:t>
      </w:r>
    </w:p>
    <w:p>
      <w:pPr>
        <w:spacing w:after="0" w:line="73" w:lineRule="exact"/>
        <w:rPr>
          <w:sz w:val="20"/>
          <w:szCs w:val="20"/>
          <w:color w:val="auto"/>
        </w:rPr>
      </w:pPr>
    </w:p>
    <w:p>
      <w:pPr>
        <w:ind w:right="40" w:firstLine="324"/>
        <w:spacing w:after="0" w:line="255" w:lineRule="auto"/>
        <w:rPr>
          <w:sz w:val="20"/>
          <w:szCs w:val="20"/>
          <w:color w:val="auto"/>
        </w:rPr>
      </w:pPr>
      <w:r>
        <w:rPr>
          <w:rFonts w:ascii="Arial" w:cs="Arial" w:eastAsia="Arial" w:hAnsi="Arial"/>
          <w:sz w:val="16"/>
          <w:szCs w:val="16"/>
          <w:i w:val="1"/>
          <w:iCs w:val="1"/>
          <w:color w:val="1666AF"/>
        </w:rPr>
        <w:t xml:space="preserve">ABS </w:t>
      </w:r>
      <w:r>
        <w:rPr>
          <w:rFonts w:ascii="Arial" w:cs="Arial" w:eastAsia="Arial" w:hAnsi="Arial"/>
          <w:sz w:val="16"/>
          <w:szCs w:val="16"/>
          <w:color w:val="000000"/>
        </w:rPr>
        <w:t>includes CDO and Consumer and other ABS. Credit risk is</w:t>
      </w:r>
      <w:r>
        <w:rPr>
          <w:rFonts w:ascii="Arial" w:cs="Arial" w:eastAsia="Arial" w:hAnsi="Arial"/>
          <w:sz w:val="16"/>
          <w:szCs w:val="16"/>
          <w:i w:val="1"/>
          <w:iCs w:val="1"/>
          <w:color w:val="1666AF"/>
        </w:rPr>
        <w:t xml:space="preserve"> </w:t>
      </w:r>
      <w:r>
        <w:rPr>
          <w:rFonts w:ascii="Arial" w:cs="Arial" w:eastAsia="Arial" w:hAnsi="Arial"/>
          <w:sz w:val="16"/>
          <w:szCs w:val="16"/>
          <w:color w:val="000000"/>
        </w:rPr>
        <w:t>managed by monitoring the performance of the underlying collateral. Many of the securities in the ABS portfolio have credit enhancement with features such as overcollateralization, subordinated structures, reserve funds, guarantees and/or insurance.</w:t>
      </w:r>
    </w:p>
    <w:p>
      <w:pPr>
        <w:spacing w:after="0" w:line="92" w:lineRule="exact"/>
        <w:rPr>
          <w:sz w:val="20"/>
          <w:szCs w:val="20"/>
          <w:color w:val="auto"/>
        </w:rPr>
      </w:pPr>
    </w:p>
    <w:p>
      <w:pPr>
        <w:ind w:firstLine="324"/>
        <w:spacing w:after="0" w:line="253" w:lineRule="auto"/>
        <w:rPr>
          <w:sz w:val="20"/>
          <w:szCs w:val="20"/>
          <w:color w:val="auto"/>
        </w:rPr>
      </w:pPr>
      <w:r>
        <w:rPr>
          <w:rFonts w:ascii="Arial" w:cs="Arial" w:eastAsia="Arial" w:hAnsi="Arial"/>
          <w:sz w:val="16"/>
          <w:szCs w:val="16"/>
          <w:color w:val="auto"/>
        </w:rPr>
        <w:t>CDO consist of obligations collateralized by cash flow CDO, which are structures collateralized primarily by below investment grade senior secured corporate loans.</w:t>
      </w:r>
    </w:p>
    <w:p>
      <w:pPr>
        <w:spacing w:after="0" w:line="77" w:lineRule="exact"/>
        <w:rPr>
          <w:sz w:val="20"/>
          <w:szCs w:val="20"/>
          <w:color w:val="auto"/>
        </w:rPr>
      </w:pPr>
    </w:p>
    <w:p>
      <w:pPr>
        <w:ind w:right="380" w:firstLine="324"/>
        <w:spacing w:after="0" w:line="281" w:lineRule="auto"/>
        <w:rPr>
          <w:sz w:val="20"/>
          <w:szCs w:val="20"/>
          <w:color w:val="auto"/>
        </w:rPr>
      </w:pPr>
      <w:r>
        <w:rPr>
          <w:rFonts w:ascii="Arial" w:cs="Arial" w:eastAsia="Arial" w:hAnsi="Arial"/>
          <w:sz w:val="16"/>
          <w:szCs w:val="16"/>
          <w:i w:val="1"/>
          <w:iCs w:val="1"/>
          <w:color w:val="1666AF"/>
        </w:rPr>
        <w:t xml:space="preserve">RMBS </w:t>
      </w:r>
      <w:r>
        <w:rPr>
          <w:rFonts w:ascii="Arial" w:cs="Arial" w:eastAsia="Arial" w:hAnsi="Arial"/>
          <w:sz w:val="16"/>
          <w:szCs w:val="16"/>
          <w:color w:val="000000"/>
        </w:rPr>
        <w:t>is subject to interest rate risk, but unlike other fixed income</w:t>
      </w:r>
      <w:r>
        <w:rPr>
          <w:rFonts w:ascii="Arial" w:cs="Arial" w:eastAsia="Arial" w:hAnsi="Arial"/>
          <w:sz w:val="16"/>
          <w:szCs w:val="16"/>
          <w:i w:val="1"/>
          <w:iCs w:val="1"/>
          <w:color w:val="1666AF"/>
        </w:rPr>
        <w:t xml:space="preserve"> </w:t>
      </w:r>
      <w:r>
        <w:rPr>
          <w:rFonts w:ascii="Arial" w:cs="Arial" w:eastAsia="Arial" w:hAnsi="Arial"/>
          <w:sz w:val="16"/>
          <w:szCs w:val="16"/>
          <w:color w:val="000000"/>
        </w:rPr>
        <w:t>securities, is additionally subject to</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prepayment risk from the underlying residential mortgage loans. RMBS consists of a U.S. Agency portfolio having collateral issued or guaranteed by U.S. government agencies and a non-agency portfolio consisting of securities collateralized by Prime, Alt-A and Subprime loans.</w:t>
      </w:r>
    </w:p>
    <w:p>
      <w:pPr>
        <w:spacing w:after="0" w:line="79" w:lineRule="exact"/>
        <w:rPr>
          <w:sz w:val="20"/>
          <w:szCs w:val="20"/>
          <w:color w:val="auto"/>
        </w:rPr>
      </w:pPr>
    </w:p>
    <w:p>
      <w:pPr>
        <w:ind w:right="360" w:firstLine="324"/>
        <w:spacing w:after="0" w:line="264" w:lineRule="auto"/>
        <w:rPr>
          <w:sz w:val="20"/>
          <w:szCs w:val="20"/>
          <w:color w:val="auto"/>
        </w:rPr>
      </w:pPr>
      <w:r>
        <w:rPr>
          <w:rFonts w:ascii="Arial" w:cs="Arial" w:eastAsia="Arial" w:hAnsi="Arial"/>
          <w:sz w:val="16"/>
          <w:szCs w:val="16"/>
          <w:i w:val="1"/>
          <w:iCs w:val="1"/>
          <w:color w:val="1666AF"/>
        </w:rPr>
        <w:t xml:space="preserve">CMBS </w:t>
      </w:r>
      <w:r>
        <w:rPr>
          <w:rFonts w:ascii="Arial" w:cs="Arial" w:eastAsia="Arial" w:hAnsi="Arial"/>
          <w:sz w:val="16"/>
          <w:szCs w:val="16"/>
          <w:color w:val="000000"/>
        </w:rPr>
        <w:t>investments are primarily traditional conduit transactions</w:t>
      </w:r>
      <w:r>
        <w:rPr>
          <w:rFonts w:ascii="Arial" w:cs="Arial" w:eastAsia="Arial" w:hAnsi="Arial"/>
          <w:sz w:val="16"/>
          <w:szCs w:val="16"/>
          <w:i w:val="1"/>
          <w:iCs w:val="1"/>
          <w:color w:val="1666AF"/>
        </w:rPr>
        <w:t xml:space="preserve"> </w:t>
      </w:r>
      <w:r>
        <w:rPr>
          <w:rFonts w:ascii="Arial" w:cs="Arial" w:eastAsia="Arial" w:hAnsi="Arial"/>
          <w:sz w:val="16"/>
          <w:szCs w:val="16"/>
          <w:color w:val="000000"/>
        </w:rPr>
        <w:t>collateralized by commercial mortgage loans, broadly diversified across property types and geographical area.</w:t>
      </w:r>
    </w:p>
    <w:p>
      <w:pPr>
        <w:spacing w:after="0" w:line="64" w:lineRule="exact"/>
        <w:rPr>
          <w:sz w:val="20"/>
          <w:szCs w:val="20"/>
          <w:color w:val="auto"/>
        </w:rPr>
      </w:pPr>
    </w:p>
    <w:p>
      <w:pPr>
        <w:ind w:right="180" w:firstLine="324"/>
        <w:spacing w:after="0" w:line="256" w:lineRule="auto"/>
        <w:rPr>
          <w:sz w:val="20"/>
          <w:szCs w:val="20"/>
          <w:color w:val="auto"/>
        </w:rPr>
      </w:pPr>
      <w:r>
        <w:rPr>
          <w:rFonts w:ascii="Arial" w:cs="Arial" w:eastAsia="Arial" w:hAnsi="Arial"/>
          <w:sz w:val="16"/>
          <w:szCs w:val="16"/>
          <w:b w:val="1"/>
          <w:bCs w:val="1"/>
          <w:color w:val="1666AF"/>
        </w:rPr>
        <w:t xml:space="preserve">Equity securities </w:t>
      </w:r>
      <w:r>
        <w:rPr>
          <w:rFonts w:ascii="Arial" w:cs="Arial" w:eastAsia="Arial" w:hAnsi="Arial"/>
          <w:sz w:val="16"/>
          <w:szCs w:val="16"/>
          <w:color w:val="000000"/>
        </w:rPr>
        <w:t>primarily include common stocks, exchange traded</w:t>
      </w:r>
      <w:r>
        <w:rPr>
          <w:rFonts w:ascii="Arial" w:cs="Arial" w:eastAsia="Arial" w:hAnsi="Arial"/>
          <w:sz w:val="16"/>
          <w:szCs w:val="16"/>
          <w:b w:val="1"/>
          <w:bCs w:val="1"/>
          <w:color w:val="1666AF"/>
        </w:rPr>
        <w:t xml:space="preserve"> </w:t>
      </w:r>
      <w:r>
        <w:rPr>
          <w:rFonts w:ascii="Arial" w:cs="Arial" w:eastAsia="Arial" w:hAnsi="Arial"/>
          <w:sz w:val="16"/>
          <w:szCs w:val="16"/>
          <w:color w:val="000000"/>
        </w:rPr>
        <w:t>and mutual funds, non-redeemable preferred stocks and real estate investment trust equity investments. Certain exchange traded and mutual funds have fixed income securities as their underlying investments. The equity securities portfolio was $5.80 billion as of March 31, 2019.</w:t>
      </w:r>
    </w:p>
    <w:p>
      <w:pPr>
        <w:spacing w:after="0" w:line="72" w:lineRule="exact"/>
        <w:rPr>
          <w:sz w:val="20"/>
          <w:szCs w:val="20"/>
          <w:color w:val="auto"/>
        </w:rPr>
      </w:pPr>
    </w:p>
    <w:p>
      <w:pPr>
        <w:ind w:right="40" w:firstLine="324"/>
        <w:spacing w:after="0" w:line="266" w:lineRule="auto"/>
        <w:rPr>
          <w:sz w:val="20"/>
          <w:szCs w:val="20"/>
          <w:color w:val="auto"/>
        </w:rPr>
      </w:pPr>
      <w:r>
        <w:rPr>
          <w:rFonts w:ascii="Arial" w:cs="Arial" w:eastAsia="Arial" w:hAnsi="Arial"/>
          <w:sz w:val="16"/>
          <w:szCs w:val="16"/>
          <w:b w:val="1"/>
          <w:bCs w:val="1"/>
          <w:color w:val="1666AF"/>
        </w:rPr>
        <w:t>Mortgage loans</w:t>
      </w:r>
      <w:r>
        <w:rPr>
          <w:rFonts w:ascii="Arial" w:cs="Arial" w:eastAsia="Arial" w:hAnsi="Arial"/>
          <w:sz w:val="16"/>
          <w:szCs w:val="16"/>
          <w:color w:val="000000"/>
        </w:rPr>
        <w:t>, which are primarily held in the life and annuity</w:t>
      </w:r>
      <w:r>
        <w:rPr>
          <w:rFonts w:ascii="Arial" w:cs="Arial" w:eastAsia="Arial" w:hAnsi="Arial"/>
          <w:sz w:val="16"/>
          <w:szCs w:val="16"/>
          <w:b w:val="1"/>
          <w:bCs w:val="1"/>
          <w:color w:val="1666AF"/>
        </w:rPr>
        <w:t xml:space="preserve"> </w:t>
      </w:r>
      <w:r>
        <w:rPr>
          <w:rFonts w:ascii="Arial" w:cs="Arial" w:eastAsia="Arial" w:hAnsi="Arial"/>
          <w:sz w:val="16"/>
          <w:szCs w:val="16"/>
          <w:color w:val="000000"/>
        </w:rPr>
        <w:t>portfolios, totaled $4.68 billion as of March 31, 2019, and primarily comprise loans secured by first mortgages on developed commercial real estate.</w:t>
      </w:r>
    </w:p>
    <w:p>
      <w:pPr>
        <w:spacing w:after="0" w:line="887" w:lineRule="exact"/>
        <w:rPr>
          <w:sz w:val="20"/>
          <w:szCs w:val="20"/>
          <w:color w:val="auto"/>
        </w:rPr>
      </w:pPr>
    </w:p>
    <w:p>
      <w:pPr>
        <w:sectPr>
          <w:pgSz w:w="11900" w:h="16838" w:orient="portrait"/>
          <w:cols w:equalWidth="0" w:num="2">
            <w:col w:w="5440" w:space="500"/>
            <w:col w:w="5480"/>
          </w:cols>
          <w:pgMar w:left="240" w:top="141" w:right="239" w:bottom="1440" w:gutter="0" w:footer="0" w:header="0"/>
          <w:type w:val="continuous"/>
        </w:sectPr>
      </w:pPr>
    </w:p>
    <w:p>
      <w:pPr>
        <w:spacing w:after="0" w:line="114"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85</w:t>
      </w:r>
    </w:p>
    <w:p>
      <w:pPr>
        <w:sectPr>
          <w:pgSz w:w="11900" w:h="16838" w:orient="portrait"/>
          <w:cols w:equalWidth="0" w:num="1">
            <w:col w:w="11420"/>
          </w:cols>
          <w:pgMar w:left="240" w:top="141"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color w:val="1666AF"/>
        </w:rPr>
        <w:t>Investments</w:t>
      </w:r>
    </w:p>
    <w:p>
      <w:pPr>
        <w:spacing w:after="0" w:line="33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666AF"/>
        </w:rPr>
        <w:t xml:space="preserve">Limited partnership interests </w:t>
      </w:r>
      <w:r>
        <w:rPr>
          <w:rFonts w:ascii="Arial" w:cs="Arial" w:eastAsia="Arial" w:hAnsi="Arial"/>
          <w:sz w:val="16"/>
          <w:szCs w:val="16"/>
          <w:color w:val="000000"/>
        </w:rPr>
        <w:t>include interests in private equity funds, real estate funds and other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Carrying value and other information for limited partnership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auto"/>
              </w:rPr>
              <w:t>As of March 31, 2019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9"/>
        </w:trPr>
        <w:tc>
          <w:tcPr>
            <w:tcW w:w="4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Largest exposure to</w:t>
            </w:r>
          </w:p>
        </w:tc>
      </w:t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ind w:left="120"/>
              <w:spacing w:after="0"/>
              <w:rPr>
                <w:sz w:val="20"/>
                <w:szCs w:val="20"/>
                <w:color w:val="auto"/>
              </w:rPr>
            </w:pPr>
            <w:r>
              <w:rPr>
                <w:rFonts w:ascii="Arial" w:cs="Arial" w:eastAsia="Arial" w:hAnsi="Arial"/>
                <w:sz w:val="16"/>
                <w:szCs w:val="16"/>
                <w:b w:val="1"/>
                <w:bCs w:val="1"/>
                <w:color w:val="auto"/>
              </w:rPr>
              <w:t>Limited partnership</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w w:val="94"/>
              </w:rPr>
              <w:t>Number of individual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single investment</w:t>
            </w:r>
          </w:p>
        </w:tc>
      </w:tr>
      <w:tr>
        <w:trPr>
          <w:trHeight w:val="243"/>
        </w:trPr>
        <w:tc>
          <w:tcPr>
            <w:tcW w:w="45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1"/>
                <w:szCs w:val="21"/>
                <w:color w:val="auto"/>
              </w:rPr>
            </w:pPr>
          </w:p>
        </w:tc>
        <w:tc>
          <w:tcPr>
            <w:tcW w:w="280" w:type="dxa"/>
            <w:vAlign w:val="bottom"/>
            <w:tcBorders>
              <w:bottom w:val="single" w:sz="8" w:color="005BA5"/>
            </w:tcBorders>
          </w:tcPr>
          <w:p>
            <w:pPr>
              <w:spacing w:after="0"/>
              <w:rPr>
                <w:sz w:val="21"/>
                <w:szCs w:val="21"/>
                <w:color w:val="auto"/>
              </w:rPr>
            </w:pPr>
          </w:p>
        </w:tc>
        <w:tc>
          <w:tcPr>
            <w:tcW w:w="1340" w:type="dxa"/>
            <w:vAlign w:val="bottom"/>
            <w:tcBorders>
              <w:bottom w:val="single" w:sz="8" w:color="005BA5"/>
            </w:tcBorders>
          </w:tcPr>
          <w:p>
            <w:pPr>
              <w:jc w:val="right"/>
              <w:ind w:right="339"/>
              <w:spacing w:after="0" w:line="244" w:lineRule="exact"/>
              <w:rPr>
                <w:sz w:val="20"/>
                <w:szCs w:val="20"/>
                <w:color w:val="auto"/>
              </w:rPr>
            </w:pPr>
            <w:r>
              <w:rPr>
                <w:rFonts w:ascii="Arial" w:cs="Arial" w:eastAsia="Arial" w:hAnsi="Arial"/>
                <w:sz w:val="16"/>
                <w:szCs w:val="16"/>
                <w:b w:val="1"/>
                <w:bCs w:val="1"/>
                <w:color w:val="auto"/>
                <w:w w:val="96"/>
              </w:rPr>
              <w:t xml:space="preserve">interests </w:t>
            </w:r>
            <w:r>
              <w:rPr>
                <w:rFonts w:ascii="Arial" w:cs="Arial" w:eastAsia="Arial" w:hAnsi="Arial"/>
                <w:sz w:val="27"/>
                <w:szCs w:val="27"/>
                <w:color w:val="005BA5"/>
                <w:w w:val="96"/>
                <w:vertAlign w:val="superscript"/>
              </w:rPr>
              <w:t>(1)</w:t>
            </w:r>
          </w:p>
        </w:tc>
        <w:tc>
          <w:tcPr>
            <w:tcW w:w="140" w:type="dxa"/>
            <w:vAlign w:val="bottom"/>
          </w:tcPr>
          <w:p>
            <w:pPr>
              <w:spacing w:after="0"/>
              <w:rPr>
                <w:sz w:val="21"/>
                <w:szCs w:val="21"/>
                <w:color w:val="auto"/>
              </w:rPr>
            </w:pPr>
          </w:p>
        </w:tc>
        <w:tc>
          <w:tcPr>
            <w:tcW w:w="1580" w:type="dxa"/>
            <w:vAlign w:val="bottom"/>
            <w:tcBorders>
              <w:bottom w:val="single" w:sz="8" w:color="005BA5"/>
            </w:tcBorders>
          </w:tcPr>
          <w:p>
            <w:pPr>
              <w:jc w:val="right"/>
              <w:spacing w:after="0"/>
              <w:rPr>
                <w:sz w:val="20"/>
                <w:szCs w:val="20"/>
                <w:color w:val="auto"/>
              </w:rPr>
            </w:pPr>
            <w:r>
              <w:rPr>
                <w:rFonts w:ascii="Arial" w:cs="Arial" w:eastAsia="Arial" w:hAnsi="Arial"/>
                <w:sz w:val="16"/>
                <w:szCs w:val="16"/>
                <w:b w:val="1"/>
                <w:bCs w:val="1"/>
                <w:color w:val="auto"/>
                <w:w w:val="93"/>
              </w:rPr>
              <w:t>Number of managers</w:t>
            </w:r>
          </w:p>
        </w:tc>
        <w:tc>
          <w:tcPr>
            <w:tcW w:w="120" w:type="dxa"/>
            <w:vAlign w:val="bottom"/>
          </w:tcPr>
          <w:p>
            <w:pPr>
              <w:spacing w:after="0"/>
              <w:rPr>
                <w:sz w:val="21"/>
                <w:szCs w:val="21"/>
                <w:color w:val="auto"/>
              </w:rPr>
            </w:pPr>
          </w:p>
        </w:tc>
        <w:tc>
          <w:tcPr>
            <w:tcW w:w="1580" w:type="dxa"/>
            <w:vAlign w:val="bottom"/>
            <w:tcBorders>
              <w:bottom w:val="single" w:sz="8" w:color="005BA5"/>
            </w:tcBorders>
          </w:tcPr>
          <w:p>
            <w:pPr>
              <w:jc w:val="right"/>
              <w:ind w:right="299"/>
              <w:spacing w:after="0"/>
              <w:rPr>
                <w:sz w:val="20"/>
                <w:szCs w:val="20"/>
                <w:color w:val="auto"/>
              </w:rPr>
            </w:pPr>
            <w:r>
              <w:rPr>
                <w:rFonts w:ascii="Arial" w:cs="Arial" w:eastAsia="Arial" w:hAnsi="Arial"/>
                <w:sz w:val="16"/>
                <w:szCs w:val="16"/>
                <w:b w:val="1"/>
                <w:bCs w:val="1"/>
                <w:color w:val="auto"/>
              </w:rPr>
              <w:t>investments</w:t>
            </w:r>
          </w:p>
        </w:tc>
        <w:tc>
          <w:tcPr>
            <w:tcW w:w="100" w:type="dxa"/>
            <w:vAlign w:val="bottom"/>
          </w:tcPr>
          <w:p>
            <w:pPr>
              <w:spacing w:after="0"/>
              <w:rPr>
                <w:sz w:val="21"/>
                <w:szCs w:val="21"/>
                <w:color w:val="auto"/>
              </w:rPr>
            </w:pPr>
          </w:p>
        </w:tc>
        <w:tc>
          <w:tcPr>
            <w:tcW w:w="100" w:type="dxa"/>
            <w:vAlign w:val="bottom"/>
            <w:tcBorders>
              <w:bottom w:val="single" w:sz="8" w:color="005BA5"/>
            </w:tcBorders>
          </w:tcPr>
          <w:p>
            <w:pPr>
              <w:spacing w:after="0"/>
              <w:rPr>
                <w:sz w:val="21"/>
                <w:szCs w:val="21"/>
                <w:color w:val="auto"/>
              </w:rPr>
            </w:pPr>
          </w:p>
        </w:tc>
        <w:tc>
          <w:tcPr>
            <w:tcW w:w="1480" w:type="dxa"/>
            <w:vAlign w:val="bottom"/>
            <w:tcBorders>
              <w:bottom w:val="single" w:sz="8" w:color="005BA5"/>
            </w:tcBorders>
          </w:tcPr>
          <w:p>
            <w:pPr>
              <w:spacing w:after="0"/>
              <w:rPr>
                <w:sz w:val="21"/>
                <w:szCs w:val="2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Private equity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5,788</w:t>
            </w:r>
          </w:p>
        </w:tc>
        <w:tc>
          <w:tcPr>
            <w:tcW w:w="14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287</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33"/>
        </w:trPr>
        <w:tc>
          <w:tcPr>
            <w:tcW w:w="4580" w:type="dxa"/>
            <w:vAlign w:val="bottom"/>
            <w:tcBorders>
              <w:bottom w:val="single" w:sz="8" w:color="808080"/>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480" w:type="dxa"/>
            <w:vAlign w:val="bottom"/>
            <w:tcBorders>
              <w:bottom w:val="single" w:sz="8" w:color="808080"/>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Real estate</w:t>
            </w:r>
          </w:p>
        </w:tc>
        <w:tc>
          <w:tcPr>
            <w:tcW w:w="28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984</w:t>
            </w:r>
          </w:p>
        </w:tc>
        <w:tc>
          <w:tcPr>
            <w:tcW w:w="14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61</w:t>
            </w:r>
          </w:p>
        </w:tc>
      </w:tr>
      <w:tr>
        <w:trPr>
          <w:trHeight w:val="33"/>
        </w:trPr>
        <w:tc>
          <w:tcPr>
            <w:tcW w:w="4700" w:type="dxa"/>
            <w:vAlign w:val="bottom"/>
            <w:tcBorders>
              <w:bottom w:val="single" w:sz="8" w:color="808080"/>
            </w:tcBorders>
            <w:gridSpan w:val="2"/>
          </w:tcPr>
          <w:p>
            <w:pPr>
              <w:spacing w:after="0"/>
              <w:rPr>
                <w:sz w:val="2"/>
                <w:szCs w:val="2"/>
                <w:color w:val="auto"/>
              </w:rPr>
            </w:pPr>
          </w:p>
        </w:tc>
        <w:tc>
          <w:tcPr>
            <w:tcW w:w="280" w:type="dxa"/>
            <w:vAlign w:val="bottom"/>
            <w:tcBorders>
              <w:bottom w:val="single" w:sz="8" w:color="808080"/>
            </w:tcBorders>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14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480" w:type="dxa"/>
            <w:vAlign w:val="bottom"/>
            <w:tcBorders>
              <w:bottom w:val="single" w:sz="8" w:color="808080"/>
            </w:tcBorders>
          </w:tcPr>
          <w:p>
            <w:pPr>
              <w:spacing w:after="0"/>
              <w:rPr>
                <w:sz w:val="2"/>
                <w:szCs w:val="2"/>
                <w:color w:val="auto"/>
              </w:rPr>
            </w:pPr>
          </w:p>
        </w:tc>
      </w:tr>
      <w:tr>
        <w:trPr>
          <w:trHeight w:val="231"/>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721</w:t>
            </w:r>
          </w:p>
        </w:tc>
        <w:tc>
          <w:tcPr>
            <w:tcW w:w="14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361</w:t>
            </w: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808080"/>
            </w:tcBorders>
          </w:tcPr>
          <w:p>
            <w:pPr>
              <w:spacing w:after="0"/>
              <w:rPr>
                <w:sz w:val="2"/>
                <w:szCs w:val="2"/>
                <w:color w:val="auto"/>
              </w:rPr>
            </w:pPr>
          </w:p>
        </w:tc>
        <w:tc>
          <w:tcPr>
            <w:tcW w:w="1480" w:type="dxa"/>
            <w:vAlign w:val="bottom"/>
            <w:tcBorders>
              <w:bottom w:val="single" w:sz="8" w:color="808080"/>
            </w:tcBorders>
          </w:tcPr>
          <w:p>
            <w:pPr>
              <w:spacing w:after="0"/>
              <w:rPr>
                <w:sz w:val="2"/>
                <w:szCs w:val="2"/>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b w:val="1"/>
                <w:bCs w:val="1"/>
                <w:color w:val="auto"/>
              </w:rPr>
              <w:t>7,493</w:t>
            </w:r>
          </w:p>
        </w:tc>
        <w:tc>
          <w:tcPr>
            <w:tcW w:w="140" w:type="dxa"/>
            <w:vAlign w:val="bottom"/>
          </w:tcPr>
          <w:p>
            <w:pPr>
              <w:spacing w:after="0"/>
              <w:rPr>
                <w:sz w:val="18"/>
                <w:szCs w:val="18"/>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rPr>
              <w:t>194</w:t>
            </w:r>
          </w:p>
        </w:tc>
        <w:tc>
          <w:tcPr>
            <w:tcW w:w="120" w:type="dxa"/>
            <w:vAlign w:val="bottom"/>
          </w:tcPr>
          <w:p>
            <w:pPr>
              <w:spacing w:after="0"/>
              <w:rPr>
                <w:sz w:val="18"/>
                <w:szCs w:val="18"/>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b w:val="1"/>
                <w:bCs w:val="1"/>
                <w:color w:val="auto"/>
              </w:rPr>
              <w:t>376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45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005BA5"/>
            </w:tcBorders>
          </w:tcPr>
          <w:p>
            <w:pPr>
              <w:spacing w:after="0"/>
              <w:rPr>
                <w:sz w:val="2"/>
                <w:szCs w:val="2"/>
                <w:color w:val="auto"/>
              </w:rPr>
            </w:pPr>
          </w:p>
        </w:tc>
        <w:tc>
          <w:tcPr>
            <w:tcW w:w="1340" w:type="dxa"/>
            <w:vAlign w:val="bottom"/>
            <w:tcBorders>
              <w:bottom w:val="single" w:sz="8" w:color="005BA5"/>
            </w:tcBorders>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bl>
    <w:p>
      <w:pPr>
        <w:spacing w:after="0" w:line="21" w:lineRule="exact"/>
        <w:rPr>
          <w:sz w:val="20"/>
          <w:szCs w:val="20"/>
          <w:color w:val="auto"/>
        </w:rPr>
      </w:pPr>
    </w:p>
    <w:p>
      <w:pPr>
        <w:ind w:left="280" w:hanging="191"/>
        <w:spacing w:after="0"/>
        <w:tabs>
          <w:tab w:leader="none" w:pos="280" w:val="left"/>
        </w:tabs>
        <w:numPr>
          <w:ilvl w:val="0"/>
          <w:numId w:val="84"/>
        </w:numPr>
        <w:rPr>
          <w:rFonts w:ascii="Arial" w:cs="Arial" w:eastAsia="Arial" w:hAnsi="Arial"/>
          <w:sz w:val="23"/>
          <w:szCs w:val="23"/>
          <w:color w:val="005BA5"/>
          <w:vertAlign w:val="superscript"/>
        </w:rPr>
      </w:pPr>
      <w:r>
        <w:rPr>
          <w:rFonts w:ascii="Arial" w:cs="Arial" w:eastAsia="Arial" w:hAnsi="Arial"/>
          <w:sz w:val="14"/>
          <w:szCs w:val="14"/>
          <w:color w:val="auto"/>
        </w:rPr>
        <w:t>We have commitments to invest in additional limited partnership interests totaling $2.89 billion.</w:t>
      </w:r>
    </w:p>
    <w:p>
      <w:pPr>
        <w:spacing w:after="0" w:line="4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1666AF"/>
        </w:rPr>
        <w:t xml:space="preserve">Unrealized net capital gains </w:t>
      </w:r>
      <w:r>
        <w:rPr>
          <w:rFonts w:ascii="Arial" w:cs="Arial" w:eastAsia="Arial" w:hAnsi="Arial"/>
          <w:sz w:val="16"/>
          <w:szCs w:val="16"/>
          <w:color w:val="000000"/>
        </w:rPr>
        <w:t>totaled $1.37 billion as of March 31, 2019 compared to $33 million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Unrealized net capital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300" w:type="dxa"/>
            <w:vAlign w:val="bottom"/>
            <w:tcBorders>
              <w:bottom w:val="single" w:sz="8" w:color="005BA5"/>
            </w:tcBorders>
          </w:tcPr>
          <w:p>
            <w:pPr>
              <w:spacing w:after="0"/>
              <w:rPr>
                <w:sz w:val="20"/>
                <w:szCs w:val="20"/>
                <w:color w:val="auto"/>
              </w:rPr>
            </w:pPr>
          </w:p>
        </w:tc>
        <w:tc>
          <w:tcPr>
            <w:tcW w:w="1780" w:type="dxa"/>
            <w:vAlign w:val="bottom"/>
            <w:tcBorders>
              <w:bottom w:val="single" w:sz="8" w:color="005BA5"/>
            </w:tcBorders>
          </w:tcPr>
          <w:p>
            <w:pPr>
              <w:jc w:val="right"/>
              <w:ind w:right="419"/>
              <w:spacing w:after="0"/>
              <w:rPr>
                <w:sz w:val="20"/>
                <w:szCs w:val="20"/>
                <w:color w:val="auto"/>
              </w:rPr>
            </w:pPr>
            <w:r>
              <w:rPr>
                <w:rFonts w:ascii="Arial" w:cs="Arial" w:eastAsia="Arial" w:hAnsi="Arial"/>
                <w:sz w:val="16"/>
                <w:szCs w:val="16"/>
                <w:b w:val="1"/>
                <w:bCs w:val="1"/>
                <w:color w:val="auto"/>
              </w:rPr>
              <w:t>March 31, 2019</w:t>
            </w:r>
          </w:p>
        </w:tc>
        <w:tc>
          <w:tcPr>
            <w:tcW w:w="100" w:type="dxa"/>
            <w:vAlign w:val="bottom"/>
          </w:tcPr>
          <w:p>
            <w:pPr>
              <w:spacing w:after="0"/>
              <w:rPr>
                <w:sz w:val="20"/>
                <w:szCs w:val="20"/>
                <w:color w:val="auto"/>
              </w:rPr>
            </w:pPr>
          </w:p>
        </w:tc>
        <w:tc>
          <w:tcPr>
            <w:tcW w:w="240" w:type="dxa"/>
            <w:vAlign w:val="bottom"/>
            <w:tcBorders>
              <w:bottom w:val="single" w:sz="8" w:color="005BA5"/>
            </w:tcBorders>
          </w:tcPr>
          <w:p>
            <w:pPr>
              <w:spacing w:after="0"/>
              <w:rPr>
                <w:sz w:val="20"/>
                <w:szCs w:val="20"/>
                <w:color w:val="auto"/>
              </w:rPr>
            </w:pPr>
          </w:p>
        </w:tc>
        <w:tc>
          <w:tcPr>
            <w:tcW w:w="1800" w:type="dxa"/>
            <w:vAlign w:val="bottom"/>
            <w:tcBorders>
              <w:bottom w:val="single" w:sz="8" w:color="005BA5"/>
            </w:tcBorders>
          </w:tcPr>
          <w:p>
            <w:pPr>
              <w:jc w:val="right"/>
              <w:ind w:right="279"/>
              <w:spacing w:after="0"/>
              <w:rPr>
                <w:sz w:val="20"/>
                <w:szCs w:val="20"/>
                <w:color w:val="auto"/>
              </w:rPr>
            </w:pPr>
            <w:r>
              <w:rPr>
                <w:rFonts w:ascii="Arial" w:cs="Arial" w:eastAsia="Arial" w:hAnsi="Arial"/>
                <w:sz w:val="16"/>
                <w:szCs w:val="16"/>
                <w:b w:val="1"/>
                <w:bCs w:val="1"/>
                <w:color w:val="auto"/>
                <w:w w:val="98"/>
              </w:rPr>
              <w:t>December 31, 2018</w:t>
            </w:r>
          </w:p>
        </w:tc>
      </w:tr>
      <w:tr>
        <w:trPr>
          <w:trHeight w:val="223"/>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U.S. government and agencies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131</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Municipal</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Corporate</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Foreign government</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ABS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RMBS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87</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CMBS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Redeemable preferred stock</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color w:val="auto"/>
              </w:rPr>
              <w:t>Fixed income securities</w:t>
            </w:r>
          </w:p>
        </w:tc>
        <w:tc>
          <w:tcPr>
            <w:tcW w:w="30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b w:val="1"/>
                <w:bCs w:val="1"/>
                <w:color w:val="auto"/>
              </w:rPr>
              <w:t>1,371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36</w:t>
            </w:r>
          </w:p>
        </w:tc>
      </w:tr>
      <w:tr>
        <w:trPr>
          <w:trHeight w:val="33"/>
        </w:trPr>
        <w:tc>
          <w:tcPr>
            <w:tcW w:w="70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800" w:type="dxa"/>
            <w:vAlign w:val="bottom"/>
            <w:tcBorders>
              <w:bottom w:val="single" w:sz="8" w:color="ACACAC"/>
            </w:tcBorders>
          </w:tcPr>
          <w:p>
            <w:pPr>
              <w:spacing w:after="0"/>
              <w:rPr>
                <w:sz w:val="2"/>
                <w:szCs w:val="2"/>
                <w:color w:val="auto"/>
              </w:rPr>
            </w:pPr>
          </w:p>
        </w:tc>
      </w:tr>
      <w:tr>
        <w:trPr>
          <w:trHeight w:val="21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Derivatives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70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800" w:type="dxa"/>
            <w:vAlign w:val="bottom"/>
            <w:tcBorders>
              <w:bottom w:val="single" w:sz="8" w:color="005BA5"/>
            </w:tcBorders>
          </w:tcPr>
          <w:p>
            <w:pPr>
              <w:spacing w:after="0"/>
              <w:rPr>
                <w:sz w:val="2"/>
                <w:szCs w:val="2"/>
                <w:color w:val="auto"/>
              </w:rPr>
            </w:pPr>
          </w:p>
        </w:tc>
      </w:tr>
      <w:tr>
        <w:trPr>
          <w:trHeight w:val="217"/>
        </w:trPr>
        <w:tc>
          <w:tcPr>
            <w:tcW w:w="7200" w:type="dxa"/>
            <w:vAlign w:val="bottom"/>
            <w:gridSpan w:val="2"/>
          </w:tcPr>
          <w:p>
            <w:pPr>
              <w:ind w:left="280"/>
              <w:spacing w:after="0"/>
              <w:rPr>
                <w:sz w:val="20"/>
                <w:szCs w:val="20"/>
                <w:color w:val="auto"/>
              </w:rPr>
            </w:pPr>
            <w:r>
              <w:rPr>
                <w:rFonts w:ascii="Arial" w:cs="Arial" w:eastAsia="Arial" w:hAnsi="Arial"/>
                <w:sz w:val="16"/>
                <w:szCs w:val="16"/>
                <w:b w:val="1"/>
                <w:bCs w:val="1"/>
                <w:color w:val="auto"/>
              </w:rPr>
              <w:t>Unrealized net capital gains and losses, pre-tax</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39"/>
              <w:spacing w:after="0"/>
              <w:rPr>
                <w:sz w:val="20"/>
                <w:szCs w:val="20"/>
                <w:color w:val="auto"/>
              </w:rPr>
            </w:pPr>
            <w:r>
              <w:rPr>
                <w:rFonts w:ascii="Arial" w:cs="Arial" w:eastAsia="Arial" w:hAnsi="Arial"/>
                <w:sz w:val="16"/>
                <w:szCs w:val="16"/>
                <w:b w:val="1"/>
                <w:bCs w:val="1"/>
                <w:color w:val="auto"/>
              </w:rPr>
              <w:t>1,368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b w:val="1"/>
                <w:bCs w:val="1"/>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2" w:lineRule="exact"/>
        <w:rPr>
          <w:sz w:val="20"/>
          <w:szCs w:val="20"/>
          <w:color w:val="auto"/>
        </w:rPr>
      </w:pPr>
    </w:p>
    <w:p>
      <w:pPr>
        <w:jc w:val="both"/>
        <w:ind w:right="140" w:firstLine="324"/>
        <w:spacing w:after="0" w:line="251" w:lineRule="auto"/>
        <w:rPr>
          <w:sz w:val="20"/>
          <w:szCs w:val="20"/>
          <w:color w:val="auto"/>
        </w:rPr>
      </w:pPr>
      <w:r>
        <w:rPr>
          <w:rFonts w:ascii="Arial" w:cs="Arial" w:eastAsia="Arial" w:hAnsi="Arial"/>
          <w:sz w:val="16"/>
          <w:szCs w:val="16"/>
          <w:color w:val="auto"/>
        </w:rPr>
        <w:t>The unrealized net capital gain for the fixed income portfolio totaled $1.37 billion, comprised of $1.64 billion of gross unrealized gains and $264 million of gross unrealized losses as of March 31, 2019. This compares to an unrealized net capital gain for the fixed income portfolio totaling $36 million, comprised of $993 million of gross unrealized gains and $957 million of gross unrealized losses as of December 31, 2018. Fixed income valuations increased primarily due to a decrease in risk-free interest rates and tighter credit spreads.</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86 </w:t>
      </w:r>
      <w:r>
        <w:rPr>
          <w:sz w:val="1"/>
          <w:szCs w:val="1"/>
          <w:color w:val="auto"/>
        </w:rPr>
        <w:drawing>
          <wp:inline distT="0" distB="0" distL="0" distR="0">
            <wp:extent cx="111760" cy="111760"/>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420"/>
          </w:cols>
          <w:pgMar w:left="240" w:top="141"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ind w:left="260"/>
              <w:spacing w:after="0"/>
              <w:rPr>
                <w:sz w:val="20"/>
                <w:szCs w:val="20"/>
                <w:color w:val="auto"/>
              </w:rPr>
            </w:pPr>
            <w:r>
              <w:rPr>
                <w:rFonts w:ascii="Arial" w:cs="Arial" w:eastAsia="Arial" w:hAnsi="Arial"/>
                <w:sz w:val="16"/>
                <w:szCs w:val="16"/>
                <w:color w:val="1666AF"/>
                <w:w w:val="99"/>
              </w:rPr>
              <w:t>Investments</w:t>
            </w:r>
          </w:p>
        </w:tc>
        <w:tc>
          <w:tcPr>
            <w:tcW w:w="0" w:type="dxa"/>
            <w:vAlign w:val="bottom"/>
          </w:tcPr>
          <w:p>
            <w:pPr>
              <w:spacing w:after="0"/>
              <w:rPr>
                <w:sz w:val="1"/>
                <w:szCs w:val="1"/>
                <w:color w:val="auto"/>
              </w:rPr>
            </w:pPr>
          </w:p>
        </w:tc>
      </w:tr>
      <w:tr>
        <w:trPr>
          <w:trHeight w:val="479"/>
        </w:trPr>
        <w:tc>
          <w:tcPr>
            <w:tcW w:w="5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400" w:type="dxa"/>
            <w:vAlign w:val="bottom"/>
            <w:gridSpan w:val="3"/>
          </w:tcPr>
          <w:p>
            <w:pPr>
              <w:ind w:left="40"/>
              <w:spacing w:after="0"/>
              <w:rPr>
                <w:sz w:val="20"/>
                <w:szCs w:val="20"/>
                <w:color w:val="auto"/>
              </w:rPr>
            </w:pPr>
            <w:r>
              <w:rPr>
                <w:rFonts w:ascii="Arial" w:cs="Arial" w:eastAsia="Arial" w:hAnsi="Arial"/>
                <w:sz w:val="16"/>
                <w:szCs w:val="16"/>
                <w:b w:val="1"/>
                <w:bCs w:val="1"/>
                <w:color w:val="auto"/>
                <w:w w:val="90"/>
              </w:rPr>
              <w:t>Gross unrealized gains (losses) on fixed income securities by type and sector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0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auto"/>
              </w:rPr>
              <w:t>As of March 31, 2019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Amortized</w:t>
            </w:r>
          </w:p>
        </w:tc>
        <w:tc>
          <w:tcPr>
            <w:tcW w:w="320" w:type="dxa"/>
            <w:vAlign w:val="bottom"/>
          </w:tcPr>
          <w:p>
            <w:pPr>
              <w:spacing w:after="0"/>
              <w:rPr>
                <w:sz w:val="24"/>
                <w:szCs w:val="24"/>
                <w:color w:val="auto"/>
              </w:rPr>
            </w:pPr>
          </w:p>
        </w:tc>
        <w:tc>
          <w:tcPr>
            <w:tcW w:w="230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Gross unrealized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vMerge w:val="restart"/>
          </w:tcPr>
          <w:p>
            <w:pPr>
              <w:ind w:left="26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60"/>
        </w:trPr>
        <w:tc>
          <w:tcPr>
            <w:tcW w:w="5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240" w:type="dxa"/>
            <w:vAlign w:val="bottom"/>
            <w:tcBorders>
              <w:bottom w:val="single" w:sz="8" w:color="005BA5"/>
            </w:tcBorders>
          </w:tcPr>
          <w:p>
            <w:pPr>
              <w:spacing w:after="0"/>
              <w:rPr>
                <w:sz w:val="20"/>
                <w:szCs w:val="20"/>
                <w:color w:val="auto"/>
              </w:rPr>
            </w:pPr>
          </w:p>
        </w:tc>
        <w:tc>
          <w:tcPr>
            <w:tcW w:w="1260" w:type="dxa"/>
            <w:vAlign w:val="bottom"/>
            <w:tcBorders>
              <w:bottom w:val="single" w:sz="8" w:color="005BA5"/>
            </w:tcBorders>
          </w:tcPr>
          <w:p>
            <w:pPr>
              <w:jc w:val="right"/>
              <w:ind w:right="539"/>
              <w:spacing w:after="0"/>
              <w:rPr>
                <w:sz w:val="20"/>
                <w:szCs w:val="20"/>
                <w:color w:val="auto"/>
              </w:rPr>
            </w:pPr>
            <w:r>
              <w:rPr>
                <w:rFonts w:ascii="Arial" w:cs="Arial" w:eastAsia="Arial" w:hAnsi="Arial"/>
                <w:sz w:val="16"/>
                <w:szCs w:val="16"/>
                <w:b w:val="1"/>
                <w:bCs w:val="1"/>
                <w:color w:val="auto"/>
              </w:rPr>
              <w:t>cost</w:t>
            </w:r>
          </w:p>
        </w:tc>
        <w:tc>
          <w:tcPr>
            <w:tcW w:w="12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180" w:type="dxa"/>
            <w:vAlign w:val="bottom"/>
            <w:tcBorders>
              <w:bottom w:val="single" w:sz="8" w:color="005BA5"/>
            </w:tcBorders>
          </w:tcPr>
          <w:p>
            <w:pPr>
              <w:jc w:val="right"/>
              <w:ind w:right="479"/>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20"/>
                <w:szCs w:val="20"/>
                <w:color w:val="auto"/>
              </w:rPr>
            </w:pPr>
          </w:p>
        </w:tc>
        <w:tc>
          <w:tcPr>
            <w:tcW w:w="1000" w:type="dxa"/>
            <w:vAlign w:val="bottom"/>
            <w:tcBorders>
              <w:bottom w:val="single" w:sz="8" w:color="005BA5"/>
            </w:tcBorders>
          </w:tcPr>
          <w:p>
            <w:pPr>
              <w:jc w:val="right"/>
              <w:spacing w:after="0"/>
              <w:rPr>
                <w:sz w:val="20"/>
                <w:szCs w:val="20"/>
                <w:color w:val="auto"/>
              </w:rPr>
            </w:pPr>
            <w:r>
              <w:rPr>
                <w:rFonts w:ascii="Arial" w:cs="Arial" w:eastAsia="Arial" w:hAnsi="Arial"/>
                <w:sz w:val="16"/>
                <w:szCs w:val="16"/>
                <w:b w:val="1"/>
                <w:bCs w:val="1"/>
                <w:color w:val="auto"/>
              </w:rPr>
              <w:t>Losses</w:t>
            </w:r>
          </w:p>
        </w:tc>
        <w:tc>
          <w:tcPr>
            <w:tcW w:w="460" w:type="dxa"/>
            <w:vAlign w:val="bottom"/>
            <w:tcBorders>
              <w:bottom w:val="single" w:sz="8" w:color="005BA5"/>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005BA5"/>
            </w:tcBorders>
          </w:tcPr>
          <w:p>
            <w:pPr>
              <w:spacing w:after="0"/>
              <w:rPr>
                <w:sz w:val="20"/>
                <w:szCs w:val="20"/>
                <w:color w:val="auto"/>
              </w:rPr>
            </w:pPr>
          </w:p>
        </w:tc>
        <w:tc>
          <w:tcPr>
            <w:tcW w:w="1140" w:type="dxa"/>
            <w:vAlign w:val="bottom"/>
            <w:tcBorders>
              <w:bottom w:val="single" w:sz="8" w:color="005BA5"/>
            </w:tcBorders>
          </w:tcPr>
          <w:p>
            <w:pPr>
              <w:jc w:val="right"/>
              <w:ind w:right="45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Corporate:</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Consumer goods (cyclical and non-cyclical)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12,327</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12,460</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Utilities</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5,376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5,607</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Capital goods</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5,004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5,063</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Banking</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4,089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4,123</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Communications</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2,809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2,854</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Financial services</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2,550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2,591</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Technology</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2,946</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Energy</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2,595</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Transportation</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Basic industry</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2,031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2,081</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33"/>
        </w:trPr>
        <w:tc>
          <w:tcPr>
            <w:tcW w:w="50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1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corporate fixed income portfolio</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41,943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998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(242)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42,699</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U.S. government and agencies</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3,775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3,892</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Municipal</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8,879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9,264</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Foreign government</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752</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ABS</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1,060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1,058</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RMBS</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CMBS</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504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2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8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CACAC"/>
            </w:tcBorders>
          </w:tcPr>
          <w:p>
            <w:pPr>
              <w:spacing w:after="0"/>
              <w:rPr>
                <w:sz w:val="2"/>
                <w:szCs w:val="2"/>
                <w:color w:val="auto"/>
              </w:rPr>
            </w:pPr>
          </w:p>
        </w:tc>
        <w:tc>
          <w:tcPr>
            <w:tcW w:w="4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Redeemable preferred stock</w:t>
            </w:r>
          </w:p>
        </w:tc>
        <w:tc>
          <w:tcPr>
            <w:tcW w:w="24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50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1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fixed income securities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56,831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1,635</w:t>
            </w:r>
          </w:p>
        </w:tc>
        <w:tc>
          <w:tcPr>
            <w:tcW w:w="12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58,202</w:t>
            </w:r>
          </w:p>
        </w:tc>
        <w:tc>
          <w:tcPr>
            <w:tcW w:w="0" w:type="dxa"/>
            <w:vAlign w:val="bottom"/>
          </w:tcPr>
          <w:p>
            <w:pPr>
              <w:spacing w:after="0"/>
              <w:rPr>
                <w:sz w:val="1"/>
                <w:szCs w:val="1"/>
                <w:color w:val="auto"/>
              </w:rPr>
            </w:pPr>
          </w:p>
        </w:tc>
      </w:tr>
      <w:tr>
        <w:trPr>
          <w:trHeight w:val="33"/>
        </w:trPr>
        <w:tc>
          <w:tcPr>
            <w:tcW w:w="504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2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18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005BA5"/>
            </w:tcBorders>
          </w:tcPr>
          <w:p>
            <w:pPr>
              <w:spacing w:after="0"/>
              <w:rPr>
                <w:sz w:val="2"/>
                <w:szCs w:val="2"/>
                <w:color w:val="auto"/>
              </w:rPr>
            </w:pPr>
          </w:p>
        </w:tc>
        <w:tc>
          <w:tcPr>
            <w:tcW w:w="4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ectPr>
          <w:pgSz w:w="11900" w:h="16838" w:orient="portrait"/>
          <w:cols w:equalWidth="0" w:num="1">
            <w:col w:w="11420"/>
          </w:cols>
          <w:pgMar w:left="240" w:top="141" w:right="239" w:bottom="1440" w:gutter="0" w:footer="0" w:header="0"/>
        </w:sectPr>
      </w:pPr>
    </w:p>
    <w:p>
      <w:pPr>
        <w:ind w:firstLine="324"/>
        <w:spacing w:after="0" w:line="249" w:lineRule="auto"/>
        <w:rPr>
          <w:sz w:val="20"/>
          <w:szCs w:val="20"/>
          <w:color w:val="auto"/>
        </w:rPr>
      </w:pPr>
      <w:r>
        <w:rPr>
          <w:rFonts w:ascii="Arial" w:cs="Arial" w:eastAsia="Arial" w:hAnsi="Arial"/>
          <w:sz w:val="16"/>
          <w:szCs w:val="16"/>
          <w:color w:val="auto"/>
        </w:rPr>
        <w:t>The consumer goods, utilities and capital goods sectors comprise 29%, 13% and 12%, respectively, of the carrying value of our corporate fixed income securities portfolio as of March 31, 2019. The consumer goods, utilities and capital goods sectors had the highest concentration of gross unrealized losses in our corporate fixed income securities portfolio as of March 31, 2019.</w:t>
      </w:r>
    </w:p>
    <w:p>
      <w:pPr>
        <w:spacing w:after="0" w:line="20" w:lineRule="exact"/>
        <w:rPr>
          <w:sz w:val="20"/>
          <w:szCs w:val="20"/>
          <w:color w:val="auto"/>
        </w:rPr>
      </w:pPr>
      <w:r>
        <w:rPr>
          <w:sz w:val="20"/>
          <w:szCs w:val="20"/>
          <w:color w:val="auto"/>
        </w:rPr>
        <w:br w:type="column"/>
      </w:r>
    </w:p>
    <w:p>
      <w:pPr>
        <w:ind w:right="160" w:firstLine="324"/>
        <w:spacing w:after="0" w:line="250" w:lineRule="auto"/>
        <w:rPr>
          <w:sz w:val="20"/>
          <w:szCs w:val="20"/>
          <w:color w:val="auto"/>
        </w:rPr>
      </w:pPr>
      <w:r>
        <w:rPr>
          <w:rFonts w:ascii="Arial" w:cs="Arial" w:eastAsia="Arial" w:hAnsi="Arial"/>
          <w:sz w:val="16"/>
          <w:szCs w:val="16"/>
          <w:color w:val="auto"/>
        </w:rPr>
        <w:t>In general, the gross unrealized losses are related to an increase in market yields which may include increased risk-free interest rates and/or wider credit spreads since the time of initial purchase. Similarly, gross unrealized gains reflect a decrease in market yields since the time of initial purchase.</w:t>
      </w:r>
    </w:p>
    <w:p>
      <w:pPr>
        <w:spacing w:after="0" w:line="387" w:lineRule="exact"/>
        <w:rPr>
          <w:sz w:val="20"/>
          <w:szCs w:val="20"/>
          <w:color w:val="auto"/>
        </w:rPr>
      </w:pPr>
    </w:p>
    <w:p>
      <w:pPr>
        <w:sectPr>
          <w:pgSz w:w="11900" w:h="16838" w:orient="portrait"/>
          <w:cols w:equalWidth="0" w:num="2">
            <w:col w:w="5440" w:space="500"/>
            <w:col w:w="5480"/>
          </w:cols>
          <w:pgMar w:left="240" w:top="14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87</w:t>
      </w:r>
    </w:p>
    <w:p>
      <w:pPr>
        <w:sectPr>
          <w:pgSz w:w="11900" w:h="16838" w:orient="portrait"/>
          <w:cols w:equalWidth="0" w:num="1">
            <w:col w:w="11420"/>
          </w:cols>
          <w:pgMar w:left="240" w:top="141" w:right="2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6"/>
          <w:szCs w:val="16"/>
          <w:color w:val="1666AF"/>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Fixed income securities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508</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Equity securities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Mortgage loans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Limited partnership interests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180</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Short-term investments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Investment income, before expense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851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50"/>
        </w:trPr>
        <w:tc>
          <w:tcPr>
            <w:tcW w:w="8460" w:type="dxa"/>
            <w:vAlign w:val="bottom"/>
            <w:tcBorders>
              <w:bottom w:val="single" w:sz="8" w:color="005BA5"/>
            </w:tcBorders>
          </w:tcPr>
          <w:p>
            <w:pPr>
              <w:ind w:left="40"/>
              <w:spacing w:after="0" w:line="250" w:lineRule="exact"/>
              <w:rPr>
                <w:sz w:val="20"/>
                <w:szCs w:val="20"/>
                <w:color w:val="auto"/>
              </w:rPr>
            </w:pPr>
            <w:r>
              <w:rPr>
                <w:rFonts w:ascii="Arial" w:cs="Arial" w:eastAsia="Arial" w:hAnsi="Arial"/>
                <w:sz w:val="16"/>
                <w:szCs w:val="16"/>
                <w:color w:val="auto"/>
              </w:rPr>
              <w:t xml:space="preserve">Investment expense </w:t>
            </w:r>
            <w:r>
              <w:rPr>
                <w:rFonts w:ascii="Arial" w:cs="Arial" w:eastAsia="Arial" w:hAnsi="Arial"/>
                <w:sz w:val="27"/>
                <w:szCs w:val="27"/>
                <w:color w:val="005BA5"/>
                <w:vertAlign w:val="superscript"/>
              </w:rPr>
              <w:t>(1)(2)</w:t>
            </w:r>
          </w:p>
        </w:tc>
        <w:tc>
          <w:tcPr>
            <w:tcW w:w="12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6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1"/>
                <w:szCs w:val="21"/>
                <w:color w:val="auto"/>
              </w:rPr>
            </w:pPr>
          </w:p>
        </w:tc>
        <w:tc>
          <w:tcPr>
            <w:tcW w:w="320" w:type="dxa"/>
            <w:vAlign w:val="bottom"/>
            <w:tcBorders>
              <w:bottom w:val="single" w:sz="8" w:color="005BA5"/>
            </w:tcBorders>
          </w:tcPr>
          <w:p>
            <w:pPr>
              <w:spacing w:after="0"/>
              <w:rPr>
                <w:sz w:val="21"/>
                <w:szCs w:val="21"/>
                <w:color w:val="auto"/>
              </w:rPr>
            </w:pPr>
          </w:p>
        </w:tc>
        <w:tc>
          <w:tcPr>
            <w:tcW w:w="1040" w:type="dxa"/>
            <w:vAlign w:val="bottom"/>
            <w:tcBorders>
              <w:bottom w:val="single" w:sz="8" w:color="005BA5"/>
            </w:tcBorders>
          </w:tcPr>
          <w:p>
            <w:pPr>
              <w:jc w:val="right"/>
              <w:spacing w:after="0"/>
              <w:rPr>
                <w:sz w:val="20"/>
                <w:szCs w:val="20"/>
                <w:color w:val="auto"/>
              </w:rPr>
            </w:pPr>
            <w:r>
              <w:rPr>
                <w:rFonts w:ascii="Arial" w:cs="Arial" w:eastAsia="Arial" w:hAnsi="Arial"/>
                <w:sz w:val="16"/>
                <w:szCs w:val="16"/>
                <w:color w:val="auto"/>
              </w:rPr>
              <w:t>(65)</w:t>
            </w: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investment income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648</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786</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top w:val="single" w:sz="8" w:color="ACACAC"/>
              <w:bottom w:val="single" w:sz="8" w:color="ACACAC"/>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60" w:type="dxa"/>
            <w:vAlign w:val="bottom"/>
            <w:tcBorders>
              <w:top w:val="single" w:sz="8" w:color="ACACAC"/>
              <w:bottom w:val="single" w:sz="8" w:color="ACACAC"/>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CACAC"/>
              <w:bottom w:val="single" w:sz="8" w:color="ACACAC"/>
            </w:tcBorders>
          </w:tcPr>
          <w:p>
            <w:pPr>
              <w:spacing w:after="0"/>
              <w:rPr>
                <w:sz w:val="22"/>
                <w:szCs w:val="22"/>
                <w:color w:val="auto"/>
              </w:rPr>
            </w:pPr>
          </w:p>
        </w:tc>
        <w:tc>
          <w:tcPr>
            <w:tcW w:w="1040" w:type="dxa"/>
            <w:vAlign w:val="bottom"/>
            <w:tcBorders>
              <w:top w:val="single" w:sz="8" w:color="ACACAC"/>
              <w:bottom w:val="single" w:sz="8" w:color="ACACAC"/>
            </w:tcBorders>
          </w:tcPr>
          <w:p>
            <w:pPr>
              <w:spacing w:after="0"/>
              <w:rPr>
                <w:sz w:val="22"/>
                <w:szCs w:val="2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Market-based core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583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Market-based active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Performance-based</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197</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Investment income, before expense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719</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851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103" w:lineRule="exact"/>
        <w:rPr>
          <w:sz w:val="20"/>
          <w:szCs w:val="20"/>
          <w:color w:val="auto"/>
        </w:rPr>
      </w:pPr>
    </w:p>
    <w:p>
      <w:pPr>
        <w:ind w:left="280" w:right="660" w:hanging="191"/>
        <w:spacing w:after="0" w:line="201" w:lineRule="auto"/>
        <w:tabs>
          <w:tab w:leader="none" w:pos="280" w:val="left"/>
        </w:tabs>
        <w:numPr>
          <w:ilvl w:val="0"/>
          <w:numId w:val="85"/>
        </w:numPr>
        <w:rPr>
          <w:rFonts w:ascii="Arial" w:cs="Arial" w:eastAsia="Arial" w:hAnsi="Arial"/>
          <w:sz w:val="23"/>
          <w:szCs w:val="23"/>
          <w:color w:val="005BA5"/>
          <w:vertAlign w:val="superscript"/>
        </w:rPr>
      </w:pPr>
      <w:r>
        <w:rPr>
          <w:rFonts w:ascii="Arial" w:cs="Arial" w:eastAsia="Arial" w:hAnsi="Arial"/>
          <w:sz w:val="14"/>
          <w:szCs w:val="14"/>
          <w:color w:val="auto"/>
        </w:rPr>
        <w:t>Investment expense includes $20 million and $18 million of investee level expenses in the first quarter of 2019 and 2018, respectively. Investee level expenses include depreciation and asset level operating expenses on directly held real estate and other consolidated investments.</w:t>
      </w:r>
    </w:p>
    <w:p>
      <w:pPr>
        <w:spacing w:after="0" w:line="35" w:lineRule="exact"/>
        <w:rPr>
          <w:rFonts w:ascii="Arial" w:cs="Arial" w:eastAsia="Arial" w:hAnsi="Arial"/>
          <w:sz w:val="23"/>
          <w:szCs w:val="23"/>
          <w:color w:val="005BA5"/>
          <w:vertAlign w:val="superscript"/>
        </w:rPr>
      </w:pPr>
    </w:p>
    <w:p>
      <w:pPr>
        <w:ind w:left="280" w:right="480" w:hanging="191"/>
        <w:spacing w:after="0" w:line="201" w:lineRule="auto"/>
        <w:tabs>
          <w:tab w:leader="none" w:pos="280" w:val="left"/>
        </w:tabs>
        <w:numPr>
          <w:ilvl w:val="0"/>
          <w:numId w:val="85"/>
        </w:numPr>
        <w:rPr>
          <w:rFonts w:ascii="Arial" w:cs="Arial" w:eastAsia="Arial" w:hAnsi="Arial"/>
          <w:sz w:val="23"/>
          <w:szCs w:val="23"/>
          <w:color w:val="005BA5"/>
          <w:vertAlign w:val="superscript"/>
        </w:rPr>
      </w:pPr>
      <w:r>
        <w:rPr>
          <w:rFonts w:ascii="Arial" w:cs="Arial" w:eastAsia="Arial" w:hAnsi="Arial"/>
          <w:sz w:val="14"/>
          <w:szCs w:val="14"/>
          <w:color w:val="auto"/>
        </w:rPr>
        <w:t>Investment expense includes $11 million and $4 million related to the portion of reinvestment income on securities lending collateral paid to the counterparties in the first quarter of 2019 and 2018, respectively.</w:t>
      </w:r>
    </w:p>
    <w:p>
      <w:pPr>
        <w:spacing w:after="0" w:line="94" w:lineRule="exact"/>
        <w:rPr>
          <w:sz w:val="20"/>
          <w:szCs w:val="20"/>
          <w:color w:val="auto"/>
        </w:rPr>
      </w:pPr>
    </w:p>
    <w:p>
      <w:pPr>
        <w:ind w:right="40" w:firstLine="324"/>
        <w:spacing w:after="0" w:line="281" w:lineRule="auto"/>
        <w:rPr>
          <w:sz w:val="20"/>
          <w:szCs w:val="20"/>
          <w:color w:val="auto"/>
        </w:rPr>
      </w:pPr>
      <w:r>
        <w:rPr>
          <w:rFonts w:ascii="Arial" w:cs="Arial" w:eastAsia="Arial" w:hAnsi="Arial"/>
          <w:sz w:val="16"/>
          <w:szCs w:val="16"/>
          <w:i w:val="1"/>
          <w:iCs w:val="1"/>
          <w:color w:val="1666AF"/>
        </w:rPr>
        <w:t xml:space="preserve">Net investment income </w:t>
      </w:r>
      <w:r>
        <w:rPr>
          <w:rFonts w:ascii="Arial" w:cs="Arial" w:eastAsia="Arial" w:hAnsi="Arial"/>
          <w:sz w:val="16"/>
          <w:szCs w:val="16"/>
          <w:color w:val="000000"/>
        </w:rPr>
        <w:t>decreased 17.6% or $138 million in the first three months of 2019 compared to the same period of 2018 due to lower performance-based investment results, mainly from limited partnerships, partially offset by higher market-based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Performance-based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Limited partnerships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Private equity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Real estate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Performance-based - limited partnerships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180</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Non-limited partnerships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Private equity</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Real estate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b w:val="1"/>
                <w:bCs w:val="1"/>
                <w:color w:val="auto"/>
              </w:rPr>
              <w:t>Performance-based - non-limited partnerships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17</w:t>
            </w:r>
          </w:p>
        </w:tc>
      </w:tr>
      <w:tr>
        <w:trPr>
          <w:trHeight w:val="33"/>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CACAC"/>
              <w:bottom w:val="single" w:sz="8" w:color="ACACAC"/>
            </w:tcBorders>
          </w:tcPr>
          <w:p>
            <w:pPr>
              <w:spacing w:after="0"/>
              <w:rPr>
                <w:sz w:val="13"/>
                <w:szCs w:val="13"/>
                <w:color w:val="auto"/>
              </w:rPr>
            </w:pPr>
          </w:p>
        </w:tc>
        <w:tc>
          <w:tcPr>
            <w:tcW w:w="1040" w:type="dxa"/>
            <w:vAlign w:val="bottom"/>
            <w:tcBorders>
              <w:top w:val="single" w:sz="8" w:color="ACACAC"/>
              <w:bottom w:val="single" w:sz="8" w:color="ACACAC"/>
            </w:tcBorders>
          </w:tcPr>
          <w:p>
            <w:pPr>
              <w:spacing w:after="0"/>
              <w:rPr>
                <w:sz w:val="13"/>
                <w:szCs w:val="13"/>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Private equity</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Real estate</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performance-based</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197</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156"/>
        </w:trPr>
        <w:tc>
          <w:tcPr>
            <w:tcW w:w="8460" w:type="dxa"/>
            <w:vAlign w:val="bottom"/>
            <w:tcBorders>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CACAC"/>
            </w:tcBorders>
          </w:tcPr>
          <w:p>
            <w:pPr>
              <w:spacing w:after="0"/>
              <w:rPr>
                <w:sz w:val="13"/>
                <w:szCs w:val="13"/>
                <w:color w:val="auto"/>
              </w:rPr>
            </w:pPr>
          </w:p>
        </w:tc>
        <w:tc>
          <w:tcPr>
            <w:tcW w:w="1060" w:type="dxa"/>
            <w:vAlign w:val="bottom"/>
            <w:tcBorders>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CACAC"/>
            </w:tcBorders>
          </w:tcPr>
          <w:p>
            <w:pPr>
              <w:spacing w:after="0"/>
              <w:rPr>
                <w:sz w:val="13"/>
                <w:szCs w:val="13"/>
                <w:color w:val="auto"/>
              </w:rPr>
            </w:pPr>
          </w:p>
        </w:tc>
        <w:tc>
          <w:tcPr>
            <w:tcW w:w="1040" w:type="dxa"/>
            <w:vAlign w:val="bottom"/>
            <w:tcBorders>
              <w:bottom w:val="single" w:sz="8" w:color="ACACAC"/>
            </w:tcBorders>
          </w:tcPr>
          <w:p>
            <w:pPr>
              <w:spacing w:after="0"/>
              <w:rPr>
                <w:sz w:val="13"/>
                <w:szCs w:val="13"/>
                <w:color w:val="auto"/>
              </w:rPr>
            </w:pPr>
          </w:p>
        </w:tc>
      </w:tr>
      <w:tr>
        <w:trPr>
          <w:trHeight w:val="3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 xml:space="preserve">Investee level expenses </w:t>
            </w:r>
            <w:r>
              <w:rPr>
                <w:rFonts w:ascii="Arial" w:cs="Arial" w:eastAsia="Arial" w:hAnsi="Arial"/>
                <w:sz w:val="27"/>
                <w:szCs w:val="27"/>
                <w:color w:val="005BA5"/>
                <w:vertAlign w:val="superscript"/>
              </w:rPr>
              <w:t>(1)</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80" w:hanging="191"/>
        <w:spacing w:after="0" w:line="185" w:lineRule="auto"/>
        <w:tabs>
          <w:tab w:leader="none" w:pos="280" w:val="left"/>
        </w:tabs>
        <w:numPr>
          <w:ilvl w:val="0"/>
          <w:numId w:val="86"/>
        </w:numPr>
        <w:rPr>
          <w:rFonts w:ascii="Arial" w:cs="Arial" w:eastAsia="Arial" w:hAnsi="Arial"/>
          <w:sz w:val="20"/>
          <w:szCs w:val="20"/>
          <w:color w:val="005BA5"/>
          <w:vertAlign w:val="superscript"/>
        </w:rPr>
      </w:pPr>
      <w:r>
        <w:rPr>
          <w:rFonts w:ascii="Arial" w:cs="Arial" w:eastAsia="Arial" w:hAnsi="Arial"/>
          <w:sz w:val="12"/>
          <w:szCs w:val="12"/>
          <w:color w:val="auto"/>
        </w:rPr>
        <w:t>Investee level expenses include depreciation and asset level operating expenses reported in investment expense.</w:t>
      </w:r>
    </w:p>
    <w:p>
      <w:pPr>
        <w:sectPr>
          <w:pgSz w:w="11900" w:h="16838" w:orient="portrait"/>
          <w:cols w:equalWidth="0" w:num="1">
            <w:col w:w="11420"/>
          </w:cols>
          <w:pgMar w:left="240" w:top="141" w:right="239" w:bottom="1440" w:gutter="0" w:footer="0" w:header="0"/>
        </w:sectPr>
      </w:pPr>
    </w:p>
    <w:p>
      <w:pPr>
        <w:spacing w:after="0" w:line="95" w:lineRule="exact"/>
        <w:rPr>
          <w:sz w:val="20"/>
          <w:szCs w:val="20"/>
          <w:color w:val="auto"/>
        </w:rPr>
      </w:pPr>
    </w:p>
    <w:p>
      <w:pPr>
        <w:ind w:firstLine="324"/>
        <w:spacing w:after="0" w:line="249" w:lineRule="auto"/>
        <w:rPr>
          <w:sz w:val="20"/>
          <w:szCs w:val="20"/>
          <w:color w:val="auto"/>
        </w:rPr>
      </w:pPr>
      <w:r>
        <w:rPr>
          <w:rFonts w:ascii="Arial" w:cs="Arial" w:eastAsia="Arial" w:hAnsi="Arial"/>
          <w:sz w:val="16"/>
          <w:szCs w:val="16"/>
          <w:i w:val="1"/>
          <w:iCs w:val="1"/>
          <w:color w:val="1666AF"/>
        </w:rPr>
        <w:t xml:space="preserve">Performance-based investment income </w:t>
      </w:r>
      <w:r>
        <w:rPr>
          <w:rFonts w:ascii="Arial" w:cs="Arial" w:eastAsia="Arial" w:hAnsi="Arial"/>
          <w:sz w:val="16"/>
          <w:szCs w:val="16"/>
          <w:color w:val="000000"/>
        </w:rPr>
        <w:t>decreased 87.8% or $173</w:t>
      </w:r>
      <w:r>
        <w:rPr>
          <w:rFonts w:ascii="Arial" w:cs="Arial" w:eastAsia="Arial" w:hAnsi="Arial"/>
          <w:sz w:val="16"/>
          <w:szCs w:val="16"/>
          <w:i w:val="1"/>
          <w:iCs w:val="1"/>
          <w:color w:val="1666AF"/>
        </w:rPr>
        <w:t xml:space="preserve"> </w:t>
      </w:r>
      <w:r>
        <w:rPr>
          <w:rFonts w:ascii="Arial" w:cs="Arial" w:eastAsia="Arial" w:hAnsi="Arial"/>
          <w:sz w:val="16"/>
          <w:szCs w:val="16"/>
          <w:color w:val="000000"/>
        </w:rPr>
        <w:t>million in the first quarter of 2019 compared to the first quarter of 2018. The decrease reflects lower asset appreciation related to private equity investments. The five highest contributing performance-based investments in each period generated investment income of $42 million and $49 million in the first three months of 2019 and 2018,</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respectively. Performance-based investment results and income can vary significantly between periods and are influenced by economic conditions, equity market performance, comparable public company earnings multiples, capitalization rates, operating performance of the underlying investments and the timing of asset sales.</w:t>
      </w:r>
    </w:p>
    <w:p>
      <w:pPr>
        <w:spacing w:after="0" w:line="387" w:lineRule="exact"/>
        <w:rPr>
          <w:sz w:val="20"/>
          <w:szCs w:val="20"/>
          <w:color w:val="auto"/>
        </w:rPr>
      </w:pPr>
    </w:p>
    <w:p>
      <w:pPr>
        <w:sectPr>
          <w:pgSz w:w="11900" w:h="16838" w:orient="portrait"/>
          <w:cols w:equalWidth="0" w:num="2">
            <w:col w:w="5400" w:space="540"/>
            <w:col w:w="5480"/>
          </w:cols>
          <w:pgMar w:left="240" w:top="141" w:right="239"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88 </w:t>
      </w:r>
      <w:r>
        <w:rPr>
          <w:sz w:val="1"/>
          <w:szCs w:val="1"/>
          <w:color w:val="auto"/>
        </w:rPr>
        <w:drawing>
          <wp:inline distT="0" distB="0" distL="0" distR="0">
            <wp:extent cx="111760" cy="11176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1666AF"/>
              </w:rPr>
              <w:t>Investments</w:t>
            </w:r>
          </w:p>
        </w:tc>
      </w:tr>
      <w:tr>
        <w:trPr>
          <w:trHeight w:val="479"/>
        </w:trPr>
        <w:tc>
          <w:tcPr>
            <w:tcW w:w="858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30"/>
        </w:trPr>
        <w:tc>
          <w:tcPr>
            <w:tcW w:w="8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Components of realized capital gains (losses) and the related tax effect</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37"/>
        </w:trPr>
        <w:tc>
          <w:tcPr>
            <w:tcW w:w="8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w w:val="95"/>
              </w:rPr>
              <w:t>Three months ended March 31,</w:t>
            </w:r>
          </w:p>
        </w:tc>
      </w:tr>
      <w:tr>
        <w:trPr>
          <w:trHeight w:val="270"/>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240" w:type="dxa"/>
            <w:vAlign w:val="bottom"/>
          </w:tcPr>
          <w:p>
            <w:pPr>
              <w:spacing w:after="0"/>
              <w:rPr>
                <w:sz w:val="23"/>
                <w:szCs w:val="23"/>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r>
      <w:tr>
        <w:trPr>
          <w:trHeight w:val="231"/>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Impairment write-downs</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Fixed income securities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Limited partnership interests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color w:val="auto"/>
              </w:rPr>
              <w:t>Other investments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 impairment write-downs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280"/>
              <w:spacing w:after="0"/>
              <w:rPr>
                <w:sz w:val="20"/>
                <w:szCs w:val="20"/>
                <w:color w:val="auto"/>
              </w:rPr>
            </w:pPr>
            <w:r>
              <w:rPr>
                <w:rFonts w:ascii="Arial" w:cs="Arial" w:eastAsia="Arial" w:hAnsi="Arial"/>
                <w:sz w:val="16"/>
                <w:szCs w:val="16"/>
                <w:b w:val="1"/>
                <w:bCs w:val="1"/>
                <w:color w:val="auto"/>
              </w:rPr>
              <w:t>Net OTTI losses recognized in earnings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Sales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Valuation of equity investments</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Valuation and settlements of derivative instruments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Realized capital gains and losses, pre-tax</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662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(134)</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Income tax (expense) benefit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Realized capital gains and losses, after-tax</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524</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(106)</w:t>
            </w:r>
          </w:p>
        </w:tc>
      </w:tr>
      <w:tr>
        <w:trPr>
          <w:trHeight w:val="33"/>
        </w:trPr>
        <w:tc>
          <w:tcPr>
            <w:tcW w:w="8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56"/>
        </w:trPr>
        <w:tc>
          <w:tcPr>
            <w:tcW w:w="8460" w:type="dxa"/>
            <w:vAlign w:val="bottom"/>
            <w:tcBorders>
              <w:top w:val="single" w:sz="8" w:color="ACACAC"/>
              <w:bottom w:val="single" w:sz="8" w:color="ACACAC"/>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CACAC"/>
              <w:bottom w:val="single" w:sz="8" w:color="ACACAC"/>
            </w:tcBorders>
          </w:tcPr>
          <w:p>
            <w:pPr>
              <w:spacing w:after="0"/>
              <w:rPr>
                <w:sz w:val="13"/>
                <w:szCs w:val="13"/>
                <w:color w:val="auto"/>
              </w:rPr>
            </w:pPr>
          </w:p>
        </w:tc>
        <w:tc>
          <w:tcPr>
            <w:tcW w:w="1140" w:type="dxa"/>
            <w:vAlign w:val="bottom"/>
            <w:tcBorders>
              <w:top w:val="single" w:sz="8" w:color="ACACAC"/>
              <w:bottom w:val="single" w:sz="8" w:color="ACACAC"/>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CACAC"/>
              <w:bottom w:val="single" w:sz="8" w:color="ACACAC"/>
            </w:tcBorders>
          </w:tcPr>
          <w:p>
            <w:pPr>
              <w:spacing w:after="0"/>
              <w:rPr>
                <w:sz w:val="13"/>
                <w:szCs w:val="13"/>
                <w:color w:val="auto"/>
              </w:rPr>
            </w:pPr>
          </w:p>
        </w:tc>
        <w:tc>
          <w:tcPr>
            <w:tcW w:w="1060" w:type="dxa"/>
            <w:vAlign w:val="bottom"/>
            <w:tcBorders>
              <w:top w:val="single" w:sz="8" w:color="ACACAC"/>
              <w:bottom w:val="single" w:sz="8" w:color="ACACAC"/>
            </w:tcBorders>
          </w:tcPr>
          <w:p>
            <w:pPr>
              <w:spacing w:after="0"/>
              <w:rPr>
                <w:sz w:val="13"/>
                <w:szCs w:val="13"/>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Market-based core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Market-based active</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CACAC"/>
            </w:tcBorders>
          </w:tcPr>
          <w:p>
            <w:pPr>
              <w:spacing w:after="0"/>
              <w:rPr>
                <w:sz w:val="2"/>
                <w:szCs w:val="2"/>
                <w:color w:val="auto"/>
              </w:rPr>
            </w:pPr>
          </w:p>
        </w:tc>
        <w:tc>
          <w:tcPr>
            <w:tcW w:w="114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Performance-based</w:t>
            </w:r>
          </w:p>
        </w:tc>
        <w:tc>
          <w:tcPr>
            <w:tcW w:w="24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005BA5"/>
            </w:tcBorders>
          </w:tcPr>
          <w:p>
            <w:pPr>
              <w:spacing w:after="0"/>
              <w:rPr>
                <w:sz w:val="2"/>
                <w:szCs w:val="2"/>
                <w:color w:val="auto"/>
              </w:rPr>
            </w:pPr>
          </w:p>
        </w:tc>
        <w:tc>
          <w:tcPr>
            <w:tcW w:w="114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b w:val="1"/>
                <w:bCs w:val="1"/>
                <w:color w:val="auto"/>
              </w:rPr>
              <w:t>Realized capital gains and losses, pre-tax</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662</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86" w:lineRule="exact"/>
        <w:rPr>
          <w:sz w:val="20"/>
          <w:szCs w:val="20"/>
          <w:color w:val="auto"/>
        </w:rPr>
      </w:pPr>
    </w:p>
    <w:p>
      <w:pPr>
        <w:ind w:right="180" w:firstLine="324"/>
        <w:spacing w:after="0" w:line="258" w:lineRule="auto"/>
        <w:rPr>
          <w:sz w:val="20"/>
          <w:szCs w:val="20"/>
          <w:color w:val="auto"/>
        </w:rPr>
      </w:pPr>
      <w:r>
        <w:rPr>
          <w:rFonts w:ascii="Arial" w:cs="Arial" w:eastAsia="Arial" w:hAnsi="Arial"/>
          <w:sz w:val="16"/>
          <w:szCs w:val="16"/>
          <w:i w:val="1"/>
          <w:iCs w:val="1"/>
          <w:color w:val="1666AF"/>
        </w:rPr>
        <w:t xml:space="preserve">Realized capital gains </w:t>
      </w:r>
      <w:r>
        <w:rPr>
          <w:rFonts w:ascii="Arial" w:cs="Arial" w:eastAsia="Arial" w:hAnsi="Arial"/>
          <w:sz w:val="16"/>
          <w:szCs w:val="16"/>
          <w:color w:val="000000"/>
        </w:rPr>
        <w:t>in the first quarter of 2019, related primarily to</w:t>
      </w:r>
      <w:r>
        <w:rPr>
          <w:rFonts w:ascii="Arial" w:cs="Arial" w:eastAsia="Arial" w:hAnsi="Arial"/>
          <w:sz w:val="16"/>
          <w:szCs w:val="16"/>
          <w:i w:val="1"/>
          <w:iCs w:val="1"/>
          <w:color w:val="1666AF"/>
        </w:rPr>
        <w:t xml:space="preserve"> </w:t>
      </w:r>
      <w:r>
        <w:rPr>
          <w:rFonts w:ascii="Arial" w:cs="Arial" w:eastAsia="Arial" w:hAnsi="Arial"/>
          <w:sz w:val="16"/>
          <w:szCs w:val="16"/>
          <w:color w:val="000000"/>
        </w:rPr>
        <w:t>increased valuation of equity investments and gains on sales of fixed income securities and investments in real estate, partially offset by losses on valuation and settlements of derivative instruments.</w:t>
      </w:r>
    </w:p>
    <w:p>
      <w:pPr>
        <w:spacing w:after="0" w:line="46"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i w:val="1"/>
          <w:iCs w:val="1"/>
          <w:color w:val="1666AF"/>
        </w:rPr>
        <w:t xml:space="preserve">Sales </w:t>
      </w:r>
      <w:r>
        <w:rPr>
          <w:rFonts w:ascii="Arial" w:cs="Arial" w:eastAsia="Arial" w:hAnsi="Arial"/>
          <w:sz w:val="16"/>
          <w:szCs w:val="16"/>
          <w:color w:val="000000"/>
        </w:rPr>
        <w:t>resulted in $95 million of net realized capital gains in the three</w:t>
      </w:r>
      <w:r>
        <w:rPr>
          <w:rFonts w:ascii="Arial" w:cs="Arial" w:eastAsia="Arial" w:hAnsi="Arial"/>
          <w:sz w:val="16"/>
          <w:szCs w:val="16"/>
          <w:i w:val="1"/>
          <w:iCs w:val="1"/>
          <w:color w:val="1666AF"/>
        </w:rPr>
        <w:t xml:space="preserve"> </w:t>
      </w:r>
      <w:r>
        <w:rPr>
          <w:rFonts w:ascii="Arial" w:cs="Arial" w:eastAsia="Arial" w:hAnsi="Arial"/>
          <w:sz w:val="16"/>
          <w:szCs w:val="16"/>
          <w:color w:val="000000"/>
        </w:rPr>
        <w:t>months ended March 31, 2019. Sales related primarily to fixed income securities in connection with ongoing portfolio management as well as sales of investments in real estate.</w:t>
      </w:r>
    </w:p>
    <w:p>
      <w:pPr>
        <w:spacing w:after="0" w:line="46" w:lineRule="exact"/>
        <w:rPr>
          <w:sz w:val="20"/>
          <w:szCs w:val="20"/>
          <w:color w:val="auto"/>
        </w:rPr>
      </w:pPr>
    </w:p>
    <w:p>
      <w:pPr>
        <w:ind w:right="60" w:firstLine="324"/>
        <w:spacing w:after="0" w:line="281" w:lineRule="auto"/>
        <w:rPr>
          <w:sz w:val="20"/>
          <w:szCs w:val="20"/>
          <w:color w:val="auto"/>
        </w:rPr>
      </w:pPr>
      <w:r>
        <w:rPr>
          <w:rFonts w:ascii="Arial" w:cs="Arial" w:eastAsia="Arial" w:hAnsi="Arial"/>
          <w:sz w:val="16"/>
          <w:szCs w:val="16"/>
          <w:i w:val="1"/>
          <w:iCs w:val="1"/>
          <w:color w:val="1666AF"/>
        </w:rPr>
        <w:t xml:space="preserve">Valuation of equity investments </w:t>
      </w:r>
      <w:r>
        <w:rPr>
          <w:rFonts w:ascii="Arial" w:cs="Arial" w:eastAsia="Arial" w:hAnsi="Arial"/>
          <w:sz w:val="16"/>
          <w:szCs w:val="16"/>
          <w:color w:val="000000"/>
        </w:rPr>
        <w:t>resulted in gains of $627 million for the</w:t>
      </w:r>
      <w:r>
        <w:rPr>
          <w:rFonts w:ascii="Arial" w:cs="Arial" w:eastAsia="Arial" w:hAnsi="Arial"/>
          <w:sz w:val="16"/>
          <w:szCs w:val="16"/>
          <w:i w:val="1"/>
          <w:iCs w:val="1"/>
          <w:color w:val="1666AF"/>
        </w:rPr>
        <w:t xml:space="preserve"> </w:t>
      </w:r>
      <w:r>
        <w:rPr>
          <w:rFonts w:ascii="Arial" w:cs="Arial" w:eastAsia="Arial" w:hAnsi="Arial"/>
          <w:sz w:val="16"/>
          <w:szCs w:val="16"/>
          <w:color w:val="000000"/>
        </w:rPr>
        <w:t>three months ended March 31,</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2019, which included $553 million of appreciation in the valuation of equity securities and $74 million of appreciation primarily for certain limited partnerships where the underlying assets are predominately public equity securities.</w:t>
      </w:r>
    </w:p>
    <w:p>
      <w:pPr>
        <w:spacing w:after="0" w:line="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6"/>
          <w:szCs w:val="16"/>
          <w:i w:val="1"/>
          <w:iCs w:val="1"/>
          <w:color w:val="1666AF"/>
        </w:rPr>
        <w:t xml:space="preserve">Valuation and settlements of derivative instruments </w:t>
      </w:r>
      <w:r>
        <w:rPr>
          <w:rFonts w:ascii="Arial" w:cs="Arial" w:eastAsia="Arial" w:hAnsi="Arial"/>
          <w:sz w:val="16"/>
          <w:szCs w:val="16"/>
          <w:color w:val="000000"/>
        </w:rPr>
        <w:t>generated losses of</w:t>
      </w:r>
      <w:r>
        <w:rPr>
          <w:rFonts w:ascii="Arial" w:cs="Arial" w:eastAsia="Arial" w:hAnsi="Arial"/>
          <w:sz w:val="16"/>
          <w:szCs w:val="16"/>
          <w:i w:val="1"/>
          <w:iCs w:val="1"/>
          <w:color w:val="1666AF"/>
        </w:rPr>
        <w:t xml:space="preserve"> </w:t>
      </w:r>
      <w:r>
        <w:rPr>
          <w:rFonts w:ascii="Arial" w:cs="Arial" w:eastAsia="Arial" w:hAnsi="Arial"/>
          <w:sz w:val="16"/>
          <w:szCs w:val="16"/>
          <w:color w:val="000000"/>
        </w:rPr>
        <w:t>$46 million for the three months ended March 31, 2019, primarily comprised of losses on equity options used for risk management due to an increase in equity indices, partially offset by gains on total return swaps used for asset replication due to increases in equity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297180</wp:posOffset>
            </wp:positionV>
            <wp:extent cx="72466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90" w:lineRule="exact"/>
        <w:rPr>
          <w:sz w:val="20"/>
          <w:szCs w:val="20"/>
          <w:color w:val="auto"/>
        </w:rPr>
      </w:pPr>
    </w:p>
    <w:p>
      <w:pPr>
        <w:sectPr>
          <w:pgSz w:w="11900" w:h="16838" w:orient="portrait"/>
          <w:cols w:equalWidth="0" w:num="2">
            <w:col w:w="5440" w:space="500"/>
            <w:col w:w="5480"/>
          </w:cols>
          <w:pgMar w:left="240" w:top="141" w:right="23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Realized capital gains (losses) for performance-based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p>
      <w:pPr>
        <w:ind w:left="8940"/>
        <w:spacing w:after="0"/>
        <w:rPr>
          <w:sz w:val="20"/>
          <w:szCs w:val="20"/>
          <w:color w:val="auto"/>
        </w:rPr>
      </w:pPr>
      <w:r>
        <w:rPr>
          <w:rFonts w:ascii="Arial" w:cs="Arial" w:eastAsia="Arial" w:hAnsi="Arial"/>
          <w:sz w:val="16"/>
          <w:szCs w:val="16"/>
          <w:b w:val="1"/>
          <w:bCs w:val="1"/>
          <w:color w:val="auto"/>
        </w:rPr>
        <w:t>Three months ended March 31,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58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Impairment write-downs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 OTTI losses recognized in earnings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Sales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6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Valuation of equity investments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460" w:type="dxa"/>
            <w:vAlign w:val="bottom"/>
            <w:tcBorders>
              <w:bottom w:val="single" w:sz="8" w:color="828282"/>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828282"/>
            </w:tcBorders>
          </w:tcPr>
          <w:p>
            <w:pPr>
              <w:spacing w:after="0"/>
              <w:rPr>
                <w:sz w:val="2"/>
                <w:szCs w:val="2"/>
                <w:color w:val="auto"/>
              </w:rPr>
            </w:pPr>
          </w:p>
        </w:tc>
        <w:tc>
          <w:tcPr>
            <w:tcW w:w="1060" w:type="dxa"/>
            <w:vAlign w:val="bottom"/>
            <w:tcBorders>
              <w:bottom w:val="single" w:sz="8" w:color="828282"/>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828282"/>
            </w:tcBorders>
          </w:tcPr>
          <w:p>
            <w:pPr>
              <w:spacing w:after="0"/>
              <w:rPr>
                <w:sz w:val="2"/>
                <w:szCs w:val="2"/>
                <w:color w:val="auto"/>
              </w:rPr>
            </w:pPr>
          </w:p>
        </w:tc>
        <w:tc>
          <w:tcPr>
            <w:tcW w:w="1040" w:type="dxa"/>
            <w:vAlign w:val="bottom"/>
            <w:tcBorders>
              <w:bottom w:val="single" w:sz="8" w:color="828282"/>
            </w:tcBorders>
          </w:tcPr>
          <w:p>
            <w:pPr>
              <w:spacing w:after="0"/>
              <w:rPr>
                <w:sz w:val="2"/>
                <w:szCs w:val="2"/>
                <w:color w:val="auto"/>
              </w:rPr>
            </w:pPr>
          </w:p>
        </w:tc>
      </w:tr>
      <w:tr>
        <w:trPr>
          <w:trHeight w:val="217"/>
        </w:trPr>
        <w:tc>
          <w:tcPr>
            <w:tcW w:w="8580" w:type="dxa"/>
            <w:vAlign w:val="bottom"/>
            <w:gridSpan w:val="2"/>
          </w:tcPr>
          <w:p>
            <w:pPr>
              <w:ind w:left="40"/>
              <w:spacing w:after="0"/>
              <w:rPr>
                <w:sz w:val="20"/>
                <w:szCs w:val="20"/>
                <w:color w:val="auto"/>
              </w:rPr>
            </w:pPr>
            <w:r>
              <w:rPr>
                <w:rFonts w:ascii="Arial" w:cs="Arial" w:eastAsia="Arial" w:hAnsi="Arial"/>
                <w:sz w:val="16"/>
                <w:szCs w:val="16"/>
                <w:color w:val="auto"/>
              </w:rPr>
              <w:t>Valuation and settlements of derivative instruments</w:t>
            </w:r>
          </w:p>
        </w:tc>
        <w:tc>
          <w:tcPr>
            <w:tcW w:w="3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r>
        <w:trPr>
          <w:trHeight w:val="217"/>
        </w:trPr>
        <w:tc>
          <w:tcPr>
            <w:tcW w:w="85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 performance-based</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57</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w:t>
            </w:r>
          </w:p>
        </w:tc>
      </w:tr>
      <w:tr>
        <w:trPr>
          <w:trHeight w:val="33"/>
        </w:trPr>
        <w:tc>
          <w:tcPr>
            <w:tcW w:w="84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6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r>
    </w:tbl>
    <w:p>
      <w:pPr>
        <w:spacing w:after="0" w:line="164" w:lineRule="exact"/>
        <w:rPr>
          <w:sz w:val="20"/>
          <w:szCs w:val="20"/>
          <w:color w:val="auto"/>
        </w:rPr>
      </w:pPr>
    </w:p>
    <w:p>
      <w:pPr>
        <w:ind w:right="860" w:firstLine="324"/>
        <w:spacing w:after="0" w:line="260" w:lineRule="auto"/>
        <w:rPr>
          <w:sz w:val="20"/>
          <w:szCs w:val="20"/>
          <w:color w:val="auto"/>
        </w:rPr>
      </w:pPr>
      <w:r>
        <w:rPr>
          <w:rFonts w:ascii="Arial" w:cs="Arial" w:eastAsia="Arial" w:hAnsi="Arial"/>
          <w:sz w:val="16"/>
          <w:szCs w:val="16"/>
          <w:color w:val="auto"/>
        </w:rPr>
        <w:t>Realized capital gains on performance-based investments were $57 million in the first quarter of 2019 and primarily related to gains on sales of investments in real estate and increased valuation of equity investments.</w:t>
      </w:r>
    </w:p>
    <w:p>
      <w:pPr>
        <w:spacing w:after="0" w:line="3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89</w:t>
      </w:r>
    </w:p>
    <w:p>
      <w:pPr>
        <w:sectPr>
          <w:pgSz w:w="11900" w:h="16838" w:orient="portrait"/>
          <w:cols w:equalWidth="0" w:num="1">
            <w:col w:w="11420"/>
          </w:cols>
          <w:pgMar w:left="240" w:top="141"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6"/>
          <w:szCs w:val="16"/>
          <w:color w:val="005BA5"/>
        </w:rPr>
        <w:t>Capital Resources and Liquidity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Capital Resources and Liquidity</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b w:val="1"/>
          <w:bCs w:val="1"/>
          <w:color w:val="1666AF"/>
        </w:rPr>
        <w:t xml:space="preserve">Capital resources </w:t>
      </w:r>
      <w:r>
        <w:rPr>
          <w:rFonts w:ascii="Arial" w:cs="Arial" w:eastAsia="Arial" w:hAnsi="Arial"/>
          <w:sz w:val="16"/>
          <w:szCs w:val="16"/>
          <w:color w:val="000000"/>
        </w:rPr>
        <w:t>consist of shareholders’ equity and debt, representing funds deployed or available to be deployed to support business operations or for</w:t>
      </w:r>
      <w:r>
        <w:rPr>
          <w:rFonts w:ascii="Arial" w:cs="Arial" w:eastAsia="Arial" w:hAnsi="Arial"/>
          <w:sz w:val="16"/>
          <w:szCs w:val="16"/>
          <w:b w:val="1"/>
          <w:bCs w:val="1"/>
          <w:color w:val="1666AF"/>
        </w:rPr>
        <w:t xml:space="preserve"> </w:t>
      </w:r>
      <w:r>
        <w:rPr>
          <w:rFonts w:ascii="Arial" w:cs="Arial" w:eastAsia="Arial" w:hAnsi="Arial"/>
          <w:sz w:val="16"/>
          <w:szCs w:val="16"/>
          <w:color w:val="000000"/>
        </w:rPr>
        <w:t>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20" w:type="dxa"/>
            <w:vAlign w:val="bottom"/>
            <w:gridSpan w:val="2"/>
          </w:tcPr>
          <w:p>
            <w:pPr>
              <w:ind w:left="40"/>
              <w:spacing w:after="0"/>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20"/>
                <w:szCs w:val="20"/>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31, 2019</w:t>
            </w:r>
          </w:p>
        </w:tc>
        <w:tc>
          <w:tcPr>
            <w:tcW w:w="260" w:type="dxa"/>
            <w:vAlign w:val="bottom"/>
          </w:tcPr>
          <w:p>
            <w:pPr>
              <w:spacing w:after="0"/>
              <w:rPr>
                <w:sz w:val="20"/>
                <w:szCs w:val="20"/>
                <w:color w:val="auto"/>
              </w:rPr>
            </w:pPr>
          </w:p>
        </w:tc>
        <w:tc>
          <w:tcPr>
            <w:tcW w:w="1840" w:type="dxa"/>
            <w:vAlign w:val="bottom"/>
          </w:tcPr>
          <w:p>
            <w:pPr>
              <w:jc w:val="right"/>
              <w:ind w:right="319"/>
              <w:spacing w:after="0"/>
              <w:rPr>
                <w:sz w:val="20"/>
                <w:szCs w:val="20"/>
                <w:color w:val="auto"/>
              </w:rPr>
            </w:pPr>
            <w:r>
              <w:rPr>
                <w:rFonts w:ascii="Arial" w:cs="Arial" w:eastAsia="Arial" w:hAnsi="Arial"/>
                <w:sz w:val="16"/>
                <w:szCs w:val="16"/>
                <w:b w:val="1"/>
                <w:bCs w:val="1"/>
                <w:color w:val="auto"/>
                <w:w w:val="98"/>
              </w:rPr>
              <w:t>December 31, 2018</w:t>
            </w:r>
          </w:p>
        </w:tc>
      </w:tr>
      <w:tr>
        <w:trPr>
          <w:trHeight w:val="33"/>
        </w:trPr>
        <w:tc>
          <w:tcPr>
            <w:tcW w:w="7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840" w:type="dxa"/>
            <w:vAlign w:val="bottom"/>
            <w:tcBorders>
              <w:bottom w:val="single" w:sz="8" w:color="005BA5"/>
            </w:tcBorders>
          </w:tcPr>
          <w:p>
            <w:pPr>
              <w:spacing w:after="0"/>
              <w:rPr>
                <w:sz w:val="2"/>
                <w:szCs w:val="2"/>
                <w:color w:val="auto"/>
              </w:rPr>
            </w:pPr>
          </w:p>
        </w:tc>
      </w:tr>
      <w:tr>
        <w:trPr>
          <w:trHeight w:val="217"/>
        </w:trPr>
        <w:tc>
          <w:tcPr>
            <w:tcW w:w="7120" w:type="dxa"/>
            <w:vAlign w:val="bottom"/>
            <w:gridSpan w:val="2"/>
          </w:tcPr>
          <w:p>
            <w:pPr>
              <w:ind w:left="40"/>
              <w:spacing w:after="0"/>
              <w:rPr>
                <w:sz w:val="20"/>
                <w:szCs w:val="20"/>
                <w:color w:val="auto"/>
              </w:rPr>
            </w:pPr>
            <w:r>
              <w:rPr>
                <w:rFonts w:ascii="Arial" w:cs="Arial" w:eastAsia="Arial" w:hAnsi="Arial"/>
                <w:sz w:val="16"/>
                <w:szCs w:val="16"/>
                <w:color w:val="auto"/>
                <w:w w:val="98"/>
              </w:rPr>
              <w:t>Preferred stock, common stock, treasury stock, retained income and other shareholders’ equity items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22,333</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21,194</w:t>
            </w:r>
          </w:p>
        </w:tc>
      </w:tr>
      <w:tr>
        <w:trPr>
          <w:trHeight w:val="33"/>
        </w:trPr>
        <w:tc>
          <w:tcPr>
            <w:tcW w:w="7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840" w:type="dxa"/>
            <w:vAlign w:val="bottom"/>
            <w:tcBorders>
              <w:bottom w:val="single" w:sz="8" w:color="ACACAC"/>
            </w:tcBorders>
          </w:tcPr>
          <w:p>
            <w:pPr>
              <w:spacing w:after="0"/>
              <w:rPr>
                <w:sz w:val="2"/>
                <w:szCs w:val="2"/>
                <w:color w:val="auto"/>
              </w:rPr>
            </w:pPr>
          </w:p>
        </w:tc>
      </w:tr>
      <w:tr>
        <w:trPr>
          <w:trHeight w:val="217"/>
        </w:trPr>
        <w:tc>
          <w:tcPr>
            <w:tcW w:w="7120" w:type="dxa"/>
            <w:vAlign w:val="bottom"/>
            <w:gridSpan w:val="2"/>
          </w:tcPr>
          <w:p>
            <w:pPr>
              <w:ind w:left="40"/>
              <w:spacing w:after="0"/>
              <w:rPr>
                <w:sz w:val="20"/>
                <w:szCs w:val="20"/>
                <w:color w:val="auto"/>
              </w:rPr>
            </w:pPr>
            <w:r>
              <w:rPr>
                <w:rFonts w:ascii="Arial" w:cs="Arial" w:eastAsia="Arial" w:hAnsi="Arial"/>
                <w:sz w:val="16"/>
                <w:szCs w:val="16"/>
                <w:color w:val="auto"/>
              </w:rPr>
              <w:t>Accumulated other comprehensive income</w:t>
            </w:r>
          </w:p>
        </w:tc>
        <w:tc>
          <w:tcPr>
            <w:tcW w:w="320" w:type="dxa"/>
            <w:vAlign w:val="bottom"/>
          </w:tcPr>
          <w:p>
            <w:pPr>
              <w:spacing w:after="0"/>
              <w:rPr>
                <w:sz w:val="18"/>
                <w:szCs w:val="18"/>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1,085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118</w:t>
            </w:r>
          </w:p>
        </w:tc>
      </w:tr>
      <w:tr>
        <w:trPr>
          <w:trHeight w:val="33"/>
        </w:trPr>
        <w:tc>
          <w:tcPr>
            <w:tcW w:w="7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840" w:type="dxa"/>
            <w:vAlign w:val="bottom"/>
            <w:tcBorders>
              <w:bottom w:val="single" w:sz="8" w:color="ACACAC"/>
            </w:tcBorders>
          </w:tcPr>
          <w:p>
            <w:pPr>
              <w:spacing w:after="0"/>
              <w:rPr>
                <w:sz w:val="2"/>
                <w:szCs w:val="2"/>
                <w:color w:val="auto"/>
              </w:rPr>
            </w:pPr>
          </w:p>
        </w:tc>
      </w:tr>
      <w:tr>
        <w:trPr>
          <w:trHeight w:val="217"/>
        </w:trPr>
        <w:tc>
          <w:tcPr>
            <w:tcW w:w="7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320" w:type="dxa"/>
            <w:vAlign w:val="bottom"/>
          </w:tcPr>
          <w:p>
            <w:pPr>
              <w:spacing w:after="0"/>
              <w:rPr>
                <w:sz w:val="18"/>
                <w:szCs w:val="18"/>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b w:val="1"/>
                <w:bCs w:val="1"/>
                <w:color w:val="auto"/>
              </w:rPr>
              <w:t>23,418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b w:val="1"/>
                <w:bCs w:val="1"/>
                <w:color w:val="auto"/>
              </w:rPr>
              <w:t>21,312</w:t>
            </w:r>
          </w:p>
        </w:tc>
      </w:tr>
      <w:tr>
        <w:trPr>
          <w:trHeight w:val="33"/>
        </w:trPr>
        <w:tc>
          <w:tcPr>
            <w:tcW w:w="7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CACAC"/>
            </w:tcBorders>
          </w:tcPr>
          <w:p>
            <w:pPr>
              <w:spacing w:after="0"/>
              <w:rPr>
                <w:sz w:val="2"/>
                <w:szCs w:val="2"/>
                <w:color w:val="auto"/>
              </w:rPr>
            </w:pPr>
          </w:p>
        </w:tc>
        <w:tc>
          <w:tcPr>
            <w:tcW w:w="1840" w:type="dxa"/>
            <w:vAlign w:val="bottom"/>
            <w:tcBorders>
              <w:bottom w:val="single" w:sz="8" w:color="ACACAC"/>
            </w:tcBorders>
          </w:tcPr>
          <w:p>
            <w:pPr>
              <w:spacing w:after="0"/>
              <w:rPr>
                <w:sz w:val="2"/>
                <w:szCs w:val="2"/>
                <w:color w:val="auto"/>
              </w:rPr>
            </w:pPr>
          </w:p>
        </w:tc>
      </w:tr>
      <w:tr>
        <w:trPr>
          <w:trHeight w:val="217"/>
        </w:trPr>
        <w:tc>
          <w:tcPr>
            <w:tcW w:w="7120" w:type="dxa"/>
            <w:vAlign w:val="bottom"/>
            <w:gridSpan w:val="2"/>
          </w:tcPr>
          <w:p>
            <w:pPr>
              <w:ind w:left="40"/>
              <w:spacing w:after="0"/>
              <w:rPr>
                <w:sz w:val="20"/>
                <w:szCs w:val="20"/>
                <w:color w:val="auto"/>
              </w:rPr>
            </w:pPr>
            <w:r>
              <w:rPr>
                <w:rFonts w:ascii="Arial" w:cs="Arial" w:eastAsia="Arial" w:hAnsi="Arial"/>
                <w:sz w:val="16"/>
                <w:szCs w:val="16"/>
                <w:color w:val="auto"/>
              </w:rPr>
              <w:t>Debt</w:t>
            </w:r>
          </w:p>
        </w:tc>
        <w:tc>
          <w:tcPr>
            <w:tcW w:w="320" w:type="dxa"/>
            <w:vAlign w:val="bottom"/>
          </w:tcPr>
          <w:p>
            <w:pPr>
              <w:spacing w:after="0"/>
              <w:rPr>
                <w:sz w:val="18"/>
                <w:szCs w:val="18"/>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6,453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jc w:val="right"/>
              <w:ind w:right="79"/>
              <w:spacing w:after="0"/>
              <w:rPr>
                <w:sz w:val="20"/>
                <w:szCs w:val="20"/>
                <w:color w:val="auto"/>
              </w:rPr>
            </w:pPr>
            <w:r>
              <w:rPr>
                <w:rFonts w:ascii="Arial" w:cs="Arial" w:eastAsia="Arial" w:hAnsi="Arial"/>
                <w:sz w:val="16"/>
                <w:szCs w:val="16"/>
                <w:color w:val="auto"/>
              </w:rPr>
              <w:t>6,451</w:t>
            </w:r>
          </w:p>
        </w:tc>
      </w:tr>
      <w:tr>
        <w:trPr>
          <w:trHeight w:val="33"/>
        </w:trPr>
        <w:tc>
          <w:tcPr>
            <w:tcW w:w="7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840" w:type="dxa"/>
            <w:vAlign w:val="bottom"/>
            <w:tcBorders>
              <w:bottom w:val="single" w:sz="8" w:color="005BA5"/>
            </w:tcBorders>
          </w:tcPr>
          <w:p>
            <w:pPr>
              <w:spacing w:after="0"/>
              <w:rPr>
                <w:sz w:val="2"/>
                <w:szCs w:val="2"/>
                <w:color w:val="auto"/>
              </w:rPr>
            </w:pPr>
          </w:p>
        </w:tc>
      </w:tr>
      <w:tr>
        <w:trPr>
          <w:trHeight w:val="217"/>
        </w:trPr>
        <w:tc>
          <w:tcPr>
            <w:tcW w:w="712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capital resources</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ind w:right="79"/>
              <w:spacing w:after="0"/>
              <w:rPr>
                <w:sz w:val="20"/>
                <w:szCs w:val="20"/>
                <w:color w:val="auto"/>
              </w:rPr>
            </w:pPr>
            <w:r>
              <w:rPr>
                <w:rFonts w:ascii="Arial" w:cs="Arial" w:eastAsia="Arial" w:hAnsi="Arial"/>
                <w:sz w:val="16"/>
                <w:szCs w:val="16"/>
                <w:b w:val="1"/>
                <w:bCs w:val="1"/>
                <w:color w:val="auto"/>
              </w:rPr>
              <w:t>29,871</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ind w:right="79"/>
              <w:spacing w:after="0"/>
              <w:rPr>
                <w:sz w:val="20"/>
                <w:szCs w:val="20"/>
                <w:color w:val="auto"/>
              </w:rPr>
            </w:pPr>
            <w:r>
              <w:rPr>
                <w:rFonts w:ascii="Arial" w:cs="Arial" w:eastAsia="Arial" w:hAnsi="Arial"/>
                <w:sz w:val="16"/>
                <w:szCs w:val="16"/>
                <w:b w:val="1"/>
                <w:bCs w:val="1"/>
                <w:color w:val="auto"/>
              </w:rPr>
              <w:t>27,763</w:t>
            </w:r>
          </w:p>
        </w:tc>
      </w:tr>
      <w:tr>
        <w:trPr>
          <w:trHeight w:val="33"/>
        </w:trPr>
        <w:tc>
          <w:tcPr>
            <w:tcW w:w="7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005BA5"/>
            </w:tcBorders>
          </w:tcPr>
          <w:p>
            <w:pPr>
              <w:spacing w:after="0"/>
              <w:rPr>
                <w:sz w:val="2"/>
                <w:szCs w:val="2"/>
                <w:color w:val="auto"/>
              </w:rPr>
            </w:pPr>
          </w:p>
        </w:tc>
        <w:tc>
          <w:tcPr>
            <w:tcW w:w="1840" w:type="dxa"/>
            <w:vAlign w:val="bottom"/>
            <w:tcBorders>
              <w:bottom w:val="single" w:sz="8" w:color="005BA5"/>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p>
      <w:pPr>
        <w:spacing w:after="0" w:line="3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Ratio of debt to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445071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Ratio of debt to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445071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-1050290</wp:posOffset>
            </wp:positionH>
            <wp:positionV relativeFrom="paragraph">
              <wp:posOffset>49530</wp:posOffset>
            </wp:positionV>
            <wp:extent cx="132905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-1050290</wp:posOffset>
            </wp:positionH>
            <wp:positionV relativeFrom="paragraph">
              <wp:posOffset>49530</wp:posOffset>
            </wp:positionV>
            <wp:extent cx="132905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rPr>
          <w:sz w:val="20"/>
          <w:szCs w:val="20"/>
          <w:color w:val="auto"/>
        </w:rPr>
      </w:pPr>
      <w:r>
        <w:rPr>
          <w:rFonts w:ascii="Arial" w:cs="Arial" w:eastAsia="Arial" w:hAnsi="Arial"/>
          <w:sz w:val="14"/>
          <w:szCs w:val="14"/>
          <w:color w:val="auto"/>
        </w:rPr>
        <w:t>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49530</wp:posOffset>
            </wp:positionV>
            <wp:extent cx="132905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49530</wp:posOffset>
            </wp:positionV>
            <wp:extent cx="132905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3">
            <w:col w:w="8060" w:space="720"/>
            <w:col w:w="1480" w:space="720"/>
            <w:col w:w="440"/>
          </w:cols>
          <w:pgMar w:left="240" w:top="141" w:right="239" w:bottom="1440" w:gutter="0" w:footer="0" w:header="0"/>
          <w:type w:val="continuous"/>
        </w:sectPr>
      </w:pPr>
    </w:p>
    <w:p>
      <w:pPr>
        <w:ind w:right="140" w:firstLine="324"/>
        <w:spacing w:after="0" w:line="255" w:lineRule="auto"/>
        <w:rPr>
          <w:sz w:val="20"/>
          <w:szCs w:val="20"/>
          <w:color w:val="auto"/>
        </w:rPr>
      </w:pPr>
      <w:r>
        <w:rPr>
          <w:rFonts w:ascii="Arial" w:cs="Arial" w:eastAsia="Arial" w:hAnsi="Arial"/>
          <w:sz w:val="16"/>
          <w:szCs w:val="16"/>
          <w:i w:val="1"/>
          <w:iCs w:val="1"/>
          <w:color w:val="1666AF"/>
        </w:rPr>
        <w:t xml:space="preserve">Shareholders’ equity </w:t>
      </w:r>
      <w:r>
        <w:rPr>
          <w:rFonts w:ascii="Arial" w:cs="Arial" w:eastAsia="Arial" w:hAnsi="Arial"/>
          <w:sz w:val="16"/>
          <w:szCs w:val="16"/>
          <w:color w:val="000000"/>
        </w:rPr>
        <w:t>increased in the first three months of 2019,</w:t>
      </w:r>
      <w:r>
        <w:rPr>
          <w:rFonts w:ascii="Arial" w:cs="Arial" w:eastAsia="Arial" w:hAnsi="Arial"/>
          <w:sz w:val="16"/>
          <w:szCs w:val="16"/>
          <w:i w:val="1"/>
          <w:iCs w:val="1"/>
          <w:color w:val="1666AF"/>
        </w:rPr>
        <w:t xml:space="preserve"> </w:t>
      </w:r>
      <w:r>
        <w:rPr>
          <w:rFonts w:ascii="Arial" w:cs="Arial" w:eastAsia="Arial" w:hAnsi="Arial"/>
          <w:sz w:val="16"/>
          <w:szCs w:val="16"/>
          <w:color w:val="000000"/>
        </w:rPr>
        <w:t>primarily due to increased unrealized capital gains on investments and net income. In the three months ended March 31, 2019, we paid dividends of $158 million and $31 million related to our common and preferred shares, respectively.</w:t>
      </w:r>
    </w:p>
    <w:p>
      <w:pPr>
        <w:spacing w:after="0" w:line="76"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i w:val="1"/>
          <w:iCs w:val="1"/>
          <w:color w:val="1666AF"/>
        </w:rPr>
        <w:t xml:space="preserve">Common share repurchases </w:t>
      </w:r>
      <w:r>
        <w:rPr>
          <w:rFonts w:ascii="Arial" w:cs="Arial" w:eastAsia="Arial" w:hAnsi="Arial"/>
          <w:sz w:val="16"/>
          <w:szCs w:val="16"/>
          <w:color w:val="000000"/>
        </w:rPr>
        <w:t>As of March 31, 2019, there was $2.07</w:t>
      </w:r>
      <w:r>
        <w:rPr>
          <w:rFonts w:ascii="Arial" w:cs="Arial" w:eastAsia="Arial" w:hAnsi="Arial"/>
          <w:sz w:val="16"/>
          <w:szCs w:val="16"/>
          <w:i w:val="1"/>
          <w:iCs w:val="1"/>
          <w:color w:val="1666AF"/>
        </w:rPr>
        <w:t xml:space="preserve"> </w:t>
      </w:r>
      <w:r>
        <w:rPr>
          <w:rFonts w:ascii="Arial" w:cs="Arial" w:eastAsia="Arial" w:hAnsi="Arial"/>
          <w:sz w:val="16"/>
          <w:szCs w:val="16"/>
          <w:color w:val="000000"/>
        </w:rPr>
        <w:t>billion remaining on the $3.00 billion common share repurchase program that is expected to be completed by April 2020. Funding for the repurchase program may include potential preferred stock issuances of up to $1.00 billion. In December 2018, we entered into an accelerated share repurchase agreement (“ASR agreement”) with Wells Fargo Bank, National Association (“Wells Fargo”), to purchase $1.00 billion of our outstanding common stock. Under the ASR agreement, we paid $1.00 billion upfront and initially acquired 10.7 million shares. The actual number of shares repurchased under this ASR agreement, and the average price paid per share, will be determined at the completion of the ASR agreement based on the volume weighted average price of Allstate’s common stock during the period of Wells Fargo’s purchases. This ASR agreement is expected to be completed on or before May 3, 2019, and as a result, there were no Company common share repurchases in the first quarter of 2019. Upon completion of the ASR agreement, about $1.90 billion will remain on the $3.00 billion common share repurchase program.</w:t>
      </w:r>
    </w:p>
    <w:p>
      <w:pPr>
        <w:spacing w:after="0" w:line="90" w:lineRule="exact"/>
        <w:rPr>
          <w:sz w:val="20"/>
          <w:szCs w:val="20"/>
          <w:color w:val="auto"/>
        </w:rPr>
      </w:pPr>
    </w:p>
    <w:p>
      <w:pPr>
        <w:ind w:right="100" w:firstLine="324"/>
        <w:spacing w:after="0" w:line="264" w:lineRule="auto"/>
        <w:rPr>
          <w:sz w:val="20"/>
          <w:szCs w:val="20"/>
          <w:color w:val="auto"/>
        </w:rPr>
      </w:pPr>
      <w:r>
        <w:rPr>
          <w:rFonts w:ascii="Arial" w:cs="Arial" w:eastAsia="Arial" w:hAnsi="Arial"/>
          <w:sz w:val="16"/>
          <w:szCs w:val="16"/>
          <w:i w:val="1"/>
          <w:iCs w:val="1"/>
          <w:color w:val="1666AF"/>
        </w:rPr>
        <w:t xml:space="preserve">Common shareholder dividends </w:t>
      </w:r>
      <w:r>
        <w:rPr>
          <w:rFonts w:ascii="Arial" w:cs="Arial" w:eastAsia="Arial" w:hAnsi="Arial"/>
          <w:sz w:val="16"/>
          <w:szCs w:val="16"/>
          <w:color w:val="000000"/>
        </w:rPr>
        <w:t>On January 2, 2019, we paid a</w:t>
      </w:r>
      <w:r>
        <w:rPr>
          <w:rFonts w:ascii="Arial" w:cs="Arial" w:eastAsia="Arial" w:hAnsi="Arial"/>
          <w:sz w:val="16"/>
          <w:szCs w:val="16"/>
          <w:i w:val="1"/>
          <w:iCs w:val="1"/>
          <w:color w:val="1666AF"/>
        </w:rPr>
        <w:t xml:space="preserve"> </w:t>
      </w:r>
      <w:r>
        <w:rPr>
          <w:rFonts w:ascii="Arial" w:cs="Arial" w:eastAsia="Arial" w:hAnsi="Arial"/>
          <w:sz w:val="16"/>
          <w:szCs w:val="16"/>
          <w:color w:val="000000"/>
        </w:rPr>
        <w:t>common shareholder dividend of $0.46. On February 8, 2019, we declared common shareholder dividend of $0.50 payable on April 1, 2019.</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1666AF"/>
        </w:rPr>
        <w:t xml:space="preserve">Debt </w:t>
      </w:r>
      <w:r>
        <w:rPr>
          <w:rFonts w:ascii="Arial" w:cs="Arial" w:eastAsia="Arial" w:hAnsi="Arial"/>
          <w:sz w:val="16"/>
          <w:szCs w:val="16"/>
          <w:color w:val="000000"/>
        </w:rPr>
        <w:t>$317 million of senior debt is scheduled to mature in May 2019.</w:t>
      </w:r>
    </w:p>
    <w:p>
      <w:pPr>
        <w:spacing w:after="0" w:line="109" w:lineRule="exact"/>
        <w:rPr>
          <w:sz w:val="20"/>
          <w:szCs w:val="20"/>
          <w:color w:val="auto"/>
        </w:rPr>
      </w:pPr>
    </w:p>
    <w:p>
      <w:pPr>
        <w:ind w:right="80" w:firstLine="324"/>
        <w:spacing w:after="0" w:line="253" w:lineRule="auto"/>
        <w:rPr>
          <w:sz w:val="20"/>
          <w:szCs w:val="20"/>
          <w:color w:val="auto"/>
        </w:rPr>
      </w:pPr>
      <w:r>
        <w:rPr>
          <w:rFonts w:ascii="Arial" w:cs="Arial" w:eastAsia="Arial" w:hAnsi="Arial"/>
          <w:sz w:val="16"/>
          <w:szCs w:val="16"/>
          <w:b w:val="1"/>
          <w:bCs w:val="1"/>
          <w:color w:val="1666AF"/>
        </w:rPr>
        <w:t xml:space="preserve">Financial ratings and strength </w:t>
      </w:r>
      <w:r>
        <w:rPr>
          <w:rFonts w:ascii="Arial" w:cs="Arial" w:eastAsia="Arial" w:hAnsi="Arial"/>
          <w:sz w:val="16"/>
          <w:szCs w:val="16"/>
          <w:color w:val="000000"/>
        </w:rPr>
        <w:t>Our ratings are influenced by many</w:t>
      </w:r>
      <w:r>
        <w:rPr>
          <w:rFonts w:ascii="Arial" w:cs="Arial" w:eastAsia="Arial" w:hAnsi="Arial"/>
          <w:sz w:val="16"/>
          <w:szCs w:val="16"/>
          <w:b w:val="1"/>
          <w:bCs w:val="1"/>
          <w:color w:val="1666AF"/>
        </w:rPr>
        <w:t xml:space="preserve"> </w:t>
      </w:r>
      <w:r>
        <w:rPr>
          <w:rFonts w:ascii="Arial" w:cs="Arial" w:eastAsia="Arial" w:hAnsi="Arial"/>
          <w:sz w:val="16"/>
          <w:szCs w:val="16"/>
          <w:color w:val="000000"/>
        </w:rPr>
        <w:t>factors including our operating and financial performance, asset quality, liquidity, asset/liability management, overall portfolio mix, financial leverage (i.e. debt), exposure to risks such as catastrophes and the current level of operating leverage. The preferred stock and subordinated debentures are viewed as having a common equity component by certain rating agencies and are given equity credit up to a pre-determined limit in our capital</w:t>
      </w:r>
    </w:p>
    <w:p>
      <w:pPr>
        <w:spacing w:after="0" w:line="20" w:lineRule="exact"/>
        <w:rPr>
          <w:sz w:val="20"/>
          <w:szCs w:val="20"/>
          <w:color w:val="auto"/>
        </w:rPr>
      </w:pPr>
      <w:r>
        <w:rPr>
          <w:sz w:val="20"/>
          <w:szCs w:val="20"/>
          <w:color w:val="auto"/>
        </w:rPr>
        <w:br w:type="column"/>
      </w:r>
    </w:p>
    <w:p>
      <w:pPr>
        <w:ind w:right="100"/>
        <w:spacing w:after="0" w:line="248" w:lineRule="auto"/>
        <w:rPr>
          <w:sz w:val="20"/>
          <w:szCs w:val="20"/>
          <w:color w:val="auto"/>
        </w:rPr>
      </w:pPr>
      <w:r>
        <w:rPr>
          <w:rFonts w:ascii="Arial" w:cs="Arial" w:eastAsia="Arial" w:hAnsi="Arial"/>
          <w:sz w:val="16"/>
          <w:szCs w:val="16"/>
          <w:color w:val="auto"/>
        </w:rPr>
        <w:t>structure as determined by their respective methodologies. These respective methodologies consider the existence of certain terms and features in the instruments such as the noncumulative dividend feature in the preferred stock. There have been no changes to Allstate Life Insurance Company (“ALIC”), Allstate Insurance Company (“AIC”) or Allstate Assurance Company ratings from A.M. Best, S&amp;P or Moody’s since December 31, 2018.</w:t>
      </w:r>
    </w:p>
    <w:p>
      <w:pPr>
        <w:spacing w:after="0" w:line="81" w:lineRule="exact"/>
        <w:rPr>
          <w:sz w:val="20"/>
          <w:szCs w:val="20"/>
          <w:color w:val="auto"/>
        </w:rPr>
      </w:pPr>
    </w:p>
    <w:p>
      <w:pPr>
        <w:ind w:right="40" w:firstLine="324"/>
        <w:spacing w:after="0" w:line="253" w:lineRule="auto"/>
        <w:rPr>
          <w:sz w:val="20"/>
          <w:szCs w:val="20"/>
          <w:color w:val="auto"/>
        </w:rPr>
      </w:pPr>
      <w:r>
        <w:rPr>
          <w:rFonts w:ascii="Arial" w:cs="Arial" w:eastAsia="Arial" w:hAnsi="Arial"/>
          <w:sz w:val="16"/>
          <w:szCs w:val="16"/>
          <w:b w:val="1"/>
          <w:bCs w:val="1"/>
          <w:color w:val="1666AF"/>
        </w:rPr>
        <w:t xml:space="preserve">Liquidity sources and uses </w:t>
      </w:r>
      <w:r>
        <w:rPr>
          <w:rFonts w:ascii="Arial" w:cs="Arial" w:eastAsia="Arial" w:hAnsi="Arial"/>
          <w:sz w:val="16"/>
          <w:szCs w:val="16"/>
          <w:color w:val="000000"/>
        </w:rPr>
        <w:t>We actively manage our financial position</w:t>
      </w:r>
      <w:r>
        <w:rPr>
          <w:rFonts w:ascii="Arial" w:cs="Arial" w:eastAsia="Arial" w:hAnsi="Arial"/>
          <w:sz w:val="16"/>
          <w:szCs w:val="16"/>
          <w:b w:val="1"/>
          <w:bCs w:val="1"/>
          <w:color w:val="1666AF"/>
        </w:rPr>
        <w:t xml:space="preserve"> </w:t>
      </w:r>
      <w:r>
        <w:rPr>
          <w:rFonts w:ascii="Arial" w:cs="Arial" w:eastAsia="Arial" w:hAnsi="Arial"/>
          <w:sz w:val="16"/>
          <w:szCs w:val="16"/>
          <w:color w:val="000000"/>
        </w:rPr>
        <w:t>and liquidity levels in light of changing market, economic, and business conditions. Liquidity is managed at both the entity and enterprise level across the Company, and is assessed on both base and stressed level liquidity needs. We believe we have sufficient liquidity to meet these needs. Additionally, we have existing intercompany agreements in place that facilitate liquidity management across the Company to enhance flexibility.</w:t>
      </w:r>
    </w:p>
    <w:p>
      <w:pPr>
        <w:spacing w:after="0" w:line="94" w:lineRule="exact"/>
        <w:rPr>
          <w:sz w:val="20"/>
          <w:szCs w:val="20"/>
          <w:color w:val="auto"/>
        </w:rPr>
      </w:pPr>
    </w:p>
    <w:p>
      <w:pPr>
        <w:ind w:right="40" w:firstLine="324"/>
        <w:spacing w:after="0" w:line="247" w:lineRule="auto"/>
        <w:rPr>
          <w:sz w:val="20"/>
          <w:szCs w:val="20"/>
          <w:color w:val="auto"/>
        </w:rPr>
      </w:pPr>
      <w:r>
        <w:rPr>
          <w:rFonts w:ascii="Arial" w:cs="Arial" w:eastAsia="Arial" w:hAnsi="Arial"/>
          <w:sz w:val="16"/>
          <w:szCs w:val="16"/>
          <w:color w:val="auto"/>
        </w:rPr>
        <w:t>The Allstate Corporation is party to an Amended and Restated Intercompany Liquidity Agreement (“Liquidity Agreement”) with certain subsidiaries, which include, but are not limited to ALIC and AIC. The Liquidity Agreement allows for short-term advances of funds to be made between parties for liquidity and other general corporate purposes. The Liquidity Agreement does not establish a commitment to advance funds on the part of any party. ALIC and AIC each serve as a lender and borrower, certain other subsidiaries serve only as borrowers, and the Corporation serves only as a lender. AIC also has a capital support agreement with ALIC. Under the capital support agreement, AIC is committed to providing capital to ALIC to maintain an adequate capital level. The maximum amount of potential funding under each of these agreements is $1.00 billion.</w:t>
      </w:r>
    </w:p>
    <w:p>
      <w:pPr>
        <w:spacing w:after="0" w:line="105" w:lineRule="exact"/>
        <w:rPr>
          <w:sz w:val="20"/>
          <w:szCs w:val="20"/>
          <w:color w:val="auto"/>
        </w:rPr>
      </w:pPr>
    </w:p>
    <w:p>
      <w:pPr>
        <w:ind w:right="80" w:firstLine="324"/>
        <w:spacing w:after="0" w:line="249" w:lineRule="auto"/>
        <w:rPr>
          <w:sz w:val="20"/>
          <w:szCs w:val="20"/>
          <w:color w:val="auto"/>
        </w:rPr>
      </w:pPr>
      <w:r>
        <w:rPr>
          <w:rFonts w:ascii="Arial" w:cs="Arial" w:eastAsia="Arial" w:hAnsi="Arial"/>
          <w:sz w:val="16"/>
          <w:szCs w:val="16"/>
          <w:color w:val="auto"/>
        </w:rPr>
        <w:t>In addition to the Liquidity Agreement, the Corporation also has an intercompany loan agreement with certain of its subsidiaries, which include, but are not limited to, AIC and ALIC. The amount of intercompany loans available to the Corporation’s subsidiaries is at the discretion of the Corporation. The maximum amount of loans the Corporation will have outstanding to all its eligible subsidiaries at any</w:t>
      </w:r>
    </w:p>
    <w:p>
      <w:pPr>
        <w:spacing w:after="0" w:line="500" w:lineRule="exact"/>
        <w:rPr>
          <w:sz w:val="20"/>
          <w:szCs w:val="20"/>
          <w:color w:val="auto"/>
        </w:rPr>
      </w:pPr>
    </w:p>
    <w:p>
      <w:pPr>
        <w:sectPr>
          <w:pgSz w:w="11900" w:h="16838" w:orient="portrait"/>
          <w:cols w:equalWidth="0" w:num="2">
            <w:col w:w="5460" w:space="480"/>
            <w:col w:w="5480"/>
          </w:cols>
          <w:pgMar w:left="240" w:top="141" w:right="239"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color w:val="1666AF"/>
        </w:rPr>
        <w:t xml:space="preserve">90 </w:t>
      </w:r>
      <w:r>
        <w:rPr>
          <w:sz w:val="1"/>
          <w:szCs w:val="1"/>
          <w:color w:val="auto"/>
        </w:rPr>
        <w:drawing>
          <wp:inline distT="0" distB="0" distL="0" distR="0">
            <wp:extent cx="111760" cy="111760"/>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5"/>
          <w:szCs w:val="15"/>
          <w:color w:val="auto"/>
        </w:rPr>
        <w:t xml:space="preserve"> www.allstate.com</w:t>
      </w:r>
    </w:p>
    <w:p>
      <w:pPr>
        <w:sectPr>
          <w:pgSz w:w="11900" w:h="16838" w:orient="portrait"/>
          <w:cols w:equalWidth="0" w:num="1">
            <w:col w:w="11420"/>
          </w:cols>
          <w:pgMar w:left="240" w:top="141" w:right="239" w:bottom="1440" w:gutter="0" w:footer="0" w:header="0"/>
          <w:type w:val="continuous"/>
        </w:sectPr>
      </w:pPr>
    </w:p>
    <w:bookmarkStart w:id="94" w:name="page95"/>
    <w:bookmarkEnd w:id="94"/>
    <w:p>
      <w:pPr>
        <w:spacing w:after="0" w:line="200" w:lineRule="exact"/>
        <w:rPr>
          <w:sz w:val="20"/>
          <w:szCs w:val="20"/>
          <w:color w:val="auto"/>
        </w:rPr>
      </w:pPr>
    </w:p>
    <w:p>
      <w:pPr>
        <w:spacing w:after="0" w:line="340"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given point in time is limited to $1.00 billion. The Corporation may use commercial paper borrowings, bank lines of credit and securities lending to fund intercompany borrowings.</w:t>
      </w:r>
    </w:p>
    <w:p>
      <w:pPr>
        <w:spacing w:after="0" w:line="77" w:lineRule="exact"/>
        <w:rPr>
          <w:sz w:val="20"/>
          <w:szCs w:val="20"/>
          <w:color w:val="auto"/>
        </w:rPr>
      </w:pPr>
    </w:p>
    <w:p>
      <w:pPr>
        <w:ind w:right="80" w:firstLine="324"/>
        <w:spacing w:after="0" w:line="255" w:lineRule="auto"/>
        <w:rPr>
          <w:sz w:val="20"/>
          <w:szCs w:val="20"/>
          <w:color w:val="auto"/>
        </w:rPr>
      </w:pPr>
      <w:r>
        <w:rPr>
          <w:rFonts w:ascii="Arial" w:cs="Arial" w:eastAsia="Arial" w:hAnsi="Arial"/>
          <w:sz w:val="16"/>
          <w:szCs w:val="16"/>
          <w:i w:val="1"/>
          <w:iCs w:val="1"/>
          <w:color w:val="1666AF"/>
        </w:rPr>
        <w:t xml:space="preserve">Parent company capital capacity </w:t>
      </w:r>
      <w:r>
        <w:rPr>
          <w:rFonts w:ascii="Arial" w:cs="Arial" w:eastAsia="Arial" w:hAnsi="Arial"/>
          <w:sz w:val="16"/>
          <w:szCs w:val="16"/>
          <w:color w:val="000000"/>
        </w:rPr>
        <w:t>Parent holding company deployable</w:t>
      </w:r>
      <w:r>
        <w:rPr>
          <w:rFonts w:ascii="Arial" w:cs="Arial" w:eastAsia="Arial" w:hAnsi="Arial"/>
          <w:sz w:val="16"/>
          <w:szCs w:val="16"/>
          <w:i w:val="1"/>
          <w:iCs w:val="1"/>
          <w:color w:val="1666AF"/>
        </w:rPr>
        <w:t xml:space="preserve"> </w:t>
      </w:r>
      <w:r>
        <w:rPr>
          <w:rFonts w:ascii="Arial" w:cs="Arial" w:eastAsia="Arial" w:hAnsi="Arial"/>
          <w:sz w:val="16"/>
          <w:szCs w:val="16"/>
          <w:color w:val="000000"/>
        </w:rPr>
        <w:t>assets totaled $2.34 billion as of March 31, 2019, comprised of cash and investments that are generally saleable within one quarter. The substantial earnings capacity of the operating subsidiaries is the primary source of capital generation for the Corporation.</w:t>
      </w:r>
    </w:p>
    <w:p>
      <w:pPr>
        <w:spacing w:after="0" w:line="92" w:lineRule="exact"/>
        <w:rPr>
          <w:sz w:val="20"/>
          <w:szCs w:val="20"/>
          <w:color w:val="auto"/>
        </w:rPr>
      </w:pPr>
    </w:p>
    <w:p>
      <w:pPr>
        <w:ind w:firstLine="338"/>
        <w:spacing w:after="0" w:line="253" w:lineRule="auto"/>
        <w:rPr>
          <w:sz w:val="20"/>
          <w:szCs w:val="20"/>
          <w:color w:val="auto"/>
        </w:rPr>
      </w:pPr>
      <w:r>
        <w:rPr>
          <w:rFonts w:ascii="Arial" w:cs="Arial" w:eastAsia="Arial" w:hAnsi="Arial"/>
          <w:sz w:val="16"/>
          <w:szCs w:val="16"/>
          <w:color w:val="auto"/>
        </w:rPr>
        <w:t>In the first three months of 2019, AIC paid dividends totaling $1.06 billion to its parent, Allstate Insurance Holdings, LLC, which then paid $1.06 billion of dividends to the Corporation.</w:t>
      </w:r>
    </w:p>
    <w:p>
      <w:pPr>
        <w:spacing w:after="0" w:line="93" w:lineRule="exact"/>
        <w:rPr>
          <w:sz w:val="20"/>
          <w:szCs w:val="20"/>
          <w:color w:val="auto"/>
        </w:rPr>
      </w:pPr>
    </w:p>
    <w:p>
      <w:pPr>
        <w:ind w:right="100" w:firstLine="324"/>
        <w:spacing w:after="0" w:line="248" w:lineRule="auto"/>
        <w:rPr>
          <w:sz w:val="20"/>
          <w:szCs w:val="20"/>
          <w:color w:val="auto"/>
        </w:rPr>
      </w:pPr>
      <w:r>
        <w:rPr>
          <w:rFonts w:ascii="Arial" w:cs="Arial" w:eastAsia="Arial" w:hAnsi="Arial"/>
          <w:sz w:val="16"/>
          <w:szCs w:val="16"/>
          <w:color w:val="auto"/>
        </w:rPr>
        <w:t>Dividends may not be paid or declared on our common stock and shares of common stock may not be repurchased unless the full dividends for the latest completed dividend period on our preferred stock have been declared and paid or provided for. We are prohibited from declaring or paying dividends on our preferred stock if we fail to meet specified capital adequacy, net income or shareholders’ equity levels, except out of the net proceeds of common stock issued during the 90 days prior to the date of declaration. As of March 31, 2019, we satisfied all of the tests with no current restrictions on the payment of preferred stock dividends.</w:t>
      </w:r>
    </w:p>
    <w:p>
      <w:pPr>
        <w:spacing w:after="0" w:line="99" w:lineRule="exact"/>
        <w:rPr>
          <w:sz w:val="20"/>
          <w:szCs w:val="20"/>
          <w:color w:val="auto"/>
        </w:rPr>
      </w:pPr>
    </w:p>
    <w:p>
      <w:pPr>
        <w:ind w:right="40" w:firstLine="324"/>
        <w:spacing w:after="0" w:line="248" w:lineRule="auto"/>
        <w:rPr>
          <w:sz w:val="20"/>
          <w:szCs w:val="20"/>
          <w:color w:val="auto"/>
        </w:rPr>
      </w:pPr>
      <w:r>
        <w:rPr>
          <w:rFonts w:ascii="Arial" w:cs="Arial" w:eastAsia="Arial" w:hAnsi="Arial"/>
          <w:sz w:val="16"/>
          <w:szCs w:val="16"/>
          <w:color w:val="auto"/>
        </w:rPr>
        <w:t>The terms of our outstanding subordinated debentures also prohibit us from declaring or paying any dividends or distributions on our common or preferred stock or redeeming, purchasing, acquiring, or making liquidation payments on our common stock or preferred stock if we have elected to defer interest payments on the subordinated debentures, subject to certain limited exceptions. In the first three months of 2019, we did not defer interest payments on the subordinated debentures.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Additional resources to support liquidity are as follows:</w:t>
      </w:r>
    </w:p>
    <w:p>
      <w:pPr>
        <w:spacing w:after="0" w:line="113" w:lineRule="exact"/>
        <w:rPr>
          <w:sz w:val="20"/>
          <w:szCs w:val="20"/>
          <w:color w:val="auto"/>
        </w:rPr>
      </w:pPr>
    </w:p>
    <w:p>
      <w:pPr>
        <w:ind w:left="340" w:right="440" w:hanging="251"/>
        <w:spacing w:after="0" w:line="260" w:lineRule="auto"/>
        <w:tabs>
          <w:tab w:leader="none" w:pos="340" w:val="left"/>
        </w:tabs>
        <w:numPr>
          <w:ilvl w:val="0"/>
          <w:numId w:val="87"/>
        </w:numPr>
        <w:rPr>
          <w:rFonts w:ascii="Arial" w:cs="Arial" w:eastAsia="Arial" w:hAnsi="Arial"/>
          <w:sz w:val="16"/>
          <w:szCs w:val="16"/>
          <w:color w:val="005BA5"/>
        </w:rPr>
      </w:pPr>
      <w:r>
        <w:rPr>
          <w:rFonts w:ascii="Arial" w:cs="Arial" w:eastAsia="Arial" w:hAnsi="Arial"/>
          <w:sz w:val="16"/>
          <w:szCs w:val="16"/>
          <w:color w:val="auto"/>
        </w:rPr>
        <w:t>The Corporation has access to a commercial paper facility with a borrowing limit of $1.00 billion to</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005BA5"/>
        </w:rPr>
        <w:t>Capital Resources and Liquidity</w:t>
      </w:r>
    </w:p>
    <w:p>
      <w:pPr>
        <w:spacing w:after="0" w:line="372" w:lineRule="exact"/>
        <w:rPr>
          <w:sz w:val="20"/>
          <w:szCs w:val="20"/>
          <w:color w:val="auto"/>
        </w:rPr>
      </w:pPr>
    </w:p>
    <w:p>
      <w:pPr>
        <w:ind w:left="240" w:right="80"/>
        <w:spacing w:after="0" w:line="349" w:lineRule="auto"/>
        <w:rPr>
          <w:sz w:val="20"/>
          <w:szCs w:val="20"/>
          <w:color w:val="auto"/>
        </w:rPr>
      </w:pPr>
      <w:r>
        <w:rPr>
          <w:rFonts w:ascii="Arial" w:cs="Arial" w:eastAsia="Arial" w:hAnsi="Arial"/>
          <w:sz w:val="16"/>
          <w:szCs w:val="16"/>
          <w:color w:val="auto"/>
        </w:rPr>
        <w:t>cover short-term cash needs. As of March 31, 2019, there were no balances outstanding and therefore the remaining borrowing capacity was $1.00 billion; however, the outstanding balance can fluctuate daily.</w:t>
      </w:r>
    </w:p>
    <w:p>
      <w:pPr>
        <w:spacing w:after="0" w:line="60" w:lineRule="exact"/>
        <w:rPr>
          <w:sz w:val="20"/>
          <w:szCs w:val="20"/>
          <w:color w:val="auto"/>
        </w:rPr>
      </w:pPr>
    </w:p>
    <w:p>
      <w:pPr>
        <w:ind w:left="240" w:right="60" w:hanging="237"/>
        <w:spacing w:after="0" w:line="247" w:lineRule="auto"/>
        <w:tabs>
          <w:tab w:leader="none" w:pos="240" w:val="left"/>
        </w:tabs>
        <w:numPr>
          <w:ilvl w:val="0"/>
          <w:numId w:val="88"/>
        </w:numPr>
        <w:rPr>
          <w:rFonts w:ascii="Arial" w:cs="Arial" w:eastAsia="Arial" w:hAnsi="Arial"/>
          <w:sz w:val="16"/>
          <w:szCs w:val="16"/>
          <w:color w:val="005BA5"/>
        </w:rPr>
      </w:pPr>
      <w:r>
        <w:rPr>
          <w:rFonts w:ascii="Arial" w:cs="Arial" w:eastAsia="Arial" w:hAnsi="Arial"/>
          <w:sz w:val="16"/>
          <w:szCs w:val="16"/>
          <w:color w:val="auto"/>
        </w:rPr>
        <w:t>The Corporation, AIC and ALIC have access to a $1.00 billion unsecured revolving credit facility that is available for short-term liquidity requirements. The maturity date of this facility is April 2021. The facility is fully subscribed among 11 lenders with the largest commitment being $115 million. The commitments of the lenders are several and no lender is responsible for any other lender’s commitment if such lender fails to make a loan under the facility. This facility contains an increase provision that would allow up to an additional $500 million of borrowing. This facility has a financial covenant requiring that we not exceed a 37.5% debt to capitalization ratio as defined in the agreement. This ratio was 16.3% as of March 31, 2019. Although the right to borrow under the facility is not subject to a minimum rating requirement, the costs of maintaining the facility and borrowing under it are based on the ratings of our senior unsecured, unguaranteed long-term debt. There were no borrowings under the credit facility during the first quarter of 2019.</w:t>
      </w:r>
    </w:p>
    <w:p>
      <w:pPr>
        <w:spacing w:after="0" w:line="292" w:lineRule="exact"/>
        <w:rPr>
          <w:rFonts w:ascii="Arial" w:cs="Arial" w:eastAsia="Arial" w:hAnsi="Arial"/>
          <w:sz w:val="16"/>
          <w:szCs w:val="16"/>
          <w:color w:val="005BA5"/>
        </w:rPr>
      </w:pPr>
    </w:p>
    <w:p>
      <w:pPr>
        <w:ind w:left="240" w:right="20" w:hanging="237"/>
        <w:spacing w:after="0" w:line="248" w:lineRule="auto"/>
        <w:tabs>
          <w:tab w:leader="none" w:pos="240" w:val="left"/>
        </w:tabs>
        <w:numPr>
          <w:ilvl w:val="0"/>
          <w:numId w:val="88"/>
        </w:numPr>
        <w:rPr>
          <w:rFonts w:ascii="Arial" w:cs="Arial" w:eastAsia="Arial" w:hAnsi="Arial"/>
          <w:sz w:val="16"/>
          <w:szCs w:val="16"/>
          <w:color w:val="005BA5"/>
        </w:rPr>
      </w:pPr>
      <w:r>
        <w:rPr>
          <w:rFonts w:ascii="Arial" w:cs="Arial" w:eastAsia="Arial" w:hAnsi="Arial"/>
          <w:sz w:val="16"/>
          <w:szCs w:val="16"/>
          <w:color w:val="auto"/>
        </w:rPr>
        <w:t>The Corporation has access to a universal shelf registration statement with the Securities and Exchange Commission that expires in 2021. We can use this shelf registration to issue an unspecified amount of debt securities, common stock (including 567 million shares of treasury stock as of March 31, 2019), preferred stock, depositary shares, warrants, stock purchase contracts, stock purchase units and securities of trust subsidiaries. The specific terms of any securities we issue under this registration statement will be provided in the applicable prospectus supplements.</w:t>
      </w:r>
    </w:p>
    <w:p>
      <w:pPr>
        <w:spacing w:after="0" w:line="798" w:lineRule="exact"/>
        <w:rPr>
          <w:sz w:val="20"/>
          <w:szCs w:val="20"/>
          <w:color w:val="auto"/>
        </w:rPr>
      </w:pPr>
    </w:p>
    <w:p>
      <w:pPr>
        <w:sectPr>
          <w:pgSz w:w="11900" w:h="16838" w:orient="portrait"/>
          <w:cols w:equalWidth="0" w:num="2">
            <w:col w:w="5420" w:space="600"/>
            <w:col w:w="5400"/>
          </w:cols>
          <w:pgMar w:left="240" w:top="141" w:right="239" w:bottom="1440" w:gutter="0" w:footer="0" w:header="0"/>
        </w:sectPr>
      </w:pPr>
    </w:p>
    <w:p>
      <w:pPr>
        <w:spacing w:after="0"/>
        <w:rPr>
          <w:sz w:val="20"/>
          <w:szCs w:val="20"/>
          <w:color w:val="auto"/>
        </w:rPr>
      </w:pPr>
      <w:r>
        <w:rPr>
          <w:rFonts w:ascii="Arial" w:cs="Arial" w:eastAsia="Arial" w:hAnsi="Arial"/>
          <w:sz w:val="16"/>
          <w:szCs w:val="16"/>
          <w:i w:val="1"/>
          <w:iCs w:val="1"/>
          <w:color w:val="1666AF"/>
        </w:rPr>
        <w:t xml:space="preserve">Liquidity exposure </w:t>
      </w:r>
      <w:r>
        <w:rPr>
          <w:rFonts w:ascii="Arial" w:cs="Arial" w:eastAsia="Arial" w:hAnsi="Arial"/>
          <w:sz w:val="16"/>
          <w:szCs w:val="16"/>
          <w:color w:val="000000"/>
        </w:rPr>
        <w:t>Contractholder funds were $18.16 billion as of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Contractholder funds by contractual withdrawal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ind w:left="560"/>
              <w:spacing w:after="0"/>
              <w:rPr>
                <w:sz w:val="20"/>
                <w:szCs w:val="20"/>
                <w:color w:val="auto"/>
              </w:rPr>
            </w:pPr>
            <w:r>
              <w:rPr>
                <w:rFonts w:ascii="Arial" w:cs="Arial" w:eastAsia="Arial" w:hAnsi="Arial"/>
                <w:sz w:val="16"/>
                <w:szCs w:val="16"/>
                <w:b w:val="1"/>
                <w:bCs w:val="1"/>
                <w:color w:val="auto"/>
              </w:rPr>
              <w:t>Percent</w:t>
            </w:r>
          </w:p>
        </w:tc>
      </w:tr>
      <w:tr>
        <w:trPr>
          <w:trHeight w:val="237"/>
        </w:trPr>
        <w:tc>
          <w:tcPr>
            <w:tcW w:w="7960" w:type="dxa"/>
            <w:vAlign w:val="bottom"/>
            <w:tcBorders>
              <w:bottom w:val="single" w:sz="8" w:color="005BA5"/>
            </w:tcBorders>
          </w:tcPr>
          <w:p>
            <w:pPr>
              <w:ind w:left="40"/>
              <w:spacing w:after="0"/>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20"/>
                <w:szCs w:val="20"/>
                <w:color w:val="auto"/>
              </w:rPr>
            </w:pPr>
          </w:p>
        </w:tc>
        <w:tc>
          <w:tcPr>
            <w:tcW w:w="600" w:type="dxa"/>
            <w:vAlign w:val="bottom"/>
            <w:tcBorders>
              <w:bottom w:val="single" w:sz="8" w:color="005BA5"/>
            </w:tcBorders>
          </w:tcPr>
          <w:p>
            <w:pPr>
              <w:spacing w:after="0"/>
              <w:rPr>
                <w:sz w:val="20"/>
                <w:szCs w:val="20"/>
                <w:color w:val="auto"/>
              </w:rPr>
            </w:pPr>
          </w:p>
        </w:tc>
        <w:tc>
          <w:tcPr>
            <w:tcW w:w="980" w:type="dxa"/>
            <w:vAlign w:val="bottom"/>
            <w:tcBorders>
              <w:bottom w:val="single" w:sz="8" w:color="005BA5"/>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005BA5"/>
            </w:tcBorders>
          </w:tcPr>
          <w:p>
            <w:pPr>
              <w:ind w:left="580"/>
              <w:spacing w:after="0"/>
              <w:rPr>
                <w:sz w:val="20"/>
                <w:szCs w:val="20"/>
                <w:color w:val="auto"/>
              </w:rPr>
            </w:pPr>
            <w:r>
              <w:rPr>
                <w:rFonts w:ascii="Arial" w:cs="Arial" w:eastAsia="Arial" w:hAnsi="Arial"/>
                <w:sz w:val="16"/>
                <w:szCs w:val="16"/>
                <w:b w:val="1"/>
                <w:bCs w:val="1"/>
                <w:color w:val="auto"/>
              </w:rPr>
              <w:t>to total</w:t>
            </w:r>
          </w:p>
        </w:tc>
      </w:tr>
      <w:tr>
        <w:trPr>
          <w:trHeight w:val="223"/>
        </w:trPr>
        <w:tc>
          <w:tcPr>
            <w:tcW w:w="8080" w:type="dxa"/>
            <w:vAlign w:val="bottom"/>
            <w:gridSpan w:val="2"/>
          </w:tcPr>
          <w:p>
            <w:pPr>
              <w:ind w:left="40"/>
              <w:spacing w:after="0"/>
              <w:rPr>
                <w:sz w:val="20"/>
                <w:szCs w:val="20"/>
                <w:color w:val="auto"/>
              </w:rPr>
            </w:pPr>
            <w:r>
              <w:rPr>
                <w:rFonts w:ascii="Arial" w:cs="Arial" w:eastAsia="Arial" w:hAnsi="Arial"/>
                <w:sz w:val="16"/>
                <w:szCs w:val="16"/>
                <w:color w:val="auto"/>
              </w:rPr>
              <w:t>Not subject to discretionary withdrawal</w:t>
            </w: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2,817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33"/>
        </w:trPr>
        <w:tc>
          <w:tcPr>
            <w:tcW w:w="79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CACAC"/>
            </w:tcBorders>
          </w:tcPr>
          <w:p>
            <w:pPr>
              <w:spacing w:after="0"/>
              <w:rPr>
                <w:sz w:val="2"/>
                <w:szCs w:val="2"/>
                <w:color w:val="auto"/>
              </w:rPr>
            </w:pPr>
          </w:p>
        </w:tc>
        <w:tc>
          <w:tcPr>
            <w:tcW w:w="9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CACAC"/>
            </w:tcBorders>
          </w:tcPr>
          <w:p>
            <w:pPr>
              <w:spacing w:after="0"/>
              <w:rPr>
                <w:sz w:val="2"/>
                <w:szCs w:val="2"/>
                <w:color w:val="auto"/>
              </w:rPr>
            </w:pPr>
          </w:p>
        </w:tc>
      </w:tr>
      <w:tr>
        <w:trPr>
          <w:trHeight w:val="231"/>
        </w:trPr>
        <w:tc>
          <w:tcPr>
            <w:tcW w:w="8080" w:type="dxa"/>
            <w:vAlign w:val="bottom"/>
            <w:gridSpan w:val="2"/>
          </w:tcPr>
          <w:p>
            <w:pPr>
              <w:ind w:left="40"/>
              <w:spacing w:after="0"/>
              <w:rPr>
                <w:sz w:val="20"/>
                <w:szCs w:val="20"/>
                <w:color w:val="auto"/>
              </w:rPr>
            </w:pPr>
            <w:r>
              <w:rPr>
                <w:rFonts w:ascii="Arial" w:cs="Arial" w:eastAsia="Arial" w:hAnsi="Arial"/>
                <w:sz w:val="16"/>
                <w:szCs w:val="16"/>
                <w:color w:val="auto"/>
              </w:rPr>
              <w:t>Subject to discretionary withdrawal with adjustments:</w:t>
            </w:r>
          </w:p>
        </w:tc>
        <w:tc>
          <w:tcPr>
            <w:tcW w:w="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type w:val="continuous"/>
        </w:sectPr>
      </w:pPr>
    </w:p>
    <w:p>
      <w:pPr>
        <w:spacing w:after="0" w:line="3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Specified surrender charges </w:t>
      </w:r>
      <w:r>
        <w:rPr>
          <w:rFonts w:ascii="Arial" w:cs="Arial" w:eastAsia="Arial" w:hAnsi="Arial"/>
          <w:sz w:val="27"/>
          <w:szCs w:val="27"/>
          <w:color w:val="005BA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05142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051425" cy="8890"/>
                    </a:xfrm>
                    <a:prstGeom prst="rect">
                      <a:avLst/>
                    </a:prstGeom>
                    <a:noFill/>
                  </pic:spPr>
                </pic:pic>
              </a:graphicData>
            </a:graphic>
          </wp:anchor>
        </w:drawing>
      </w:r>
    </w:p>
    <w:p>
      <w:pPr>
        <w:ind w:left="180"/>
        <w:spacing w:after="0" w:line="208" w:lineRule="auto"/>
        <w:rPr>
          <w:sz w:val="20"/>
          <w:szCs w:val="20"/>
          <w:color w:val="auto"/>
        </w:rPr>
      </w:pPr>
      <w:r>
        <w:rPr>
          <w:rFonts w:ascii="Arial" w:cs="Arial" w:eastAsia="Arial" w:hAnsi="Arial"/>
          <w:sz w:val="16"/>
          <w:szCs w:val="16"/>
          <w:color w:val="auto"/>
        </w:rPr>
        <w:t xml:space="preserve">Market value adjustments </w:t>
      </w:r>
      <w:r>
        <w:rPr>
          <w:rFonts w:ascii="Arial" w:cs="Arial" w:eastAsia="Arial" w:hAnsi="Arial"/>
          <w:sz w:val="27"/>
          <w:szCs w:val="27"/>
          <w:color w:val="005BA5"/>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505142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05142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 xml:space="preserve">Subject to discretionary withdrawal without adjustments </w:t>
      </w:r>
      <w:r>
        <w:rPr>
          <w:rFonts w:ascii="Arial" w:cs="Arial" w:eastAsia="Arial" w:hAnsi="Arial"/>
          <w:sz w:val="23"/>
          <w:szCs w:val="23"/>
          <w:color w:val="005BA5"/>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505142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051425" cy="889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 xml:space="preserve">Total contractholder funds </w:t>
      </w:r>
      <w:r>
        <w:rPr>
          <w:rFonts w:ascii="Arial" w:cs="Arial" w:eastAsia="Arial" w:hAnsi="Arial"/>
          <w:sz w:val="27"/>
          <w:szCs w:val="27"/>
          <w:color w:val="005BA5"/>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505142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0514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60" w:type="dxa"/>
            <w:vAlign w:val="bottom"/>
          </w:tcPr>
          <w:p>
            <w:pPr>
              <w:spacing w:after="0"/>
              <w:rPr>
                <w:sz w:val="17"/>
                <w:szCs w:val="17"/>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4,764</w:t>
            </w:r>
          </w:p>
        </w:tc>
        <w:tc>
          <w:tcPr>
            <w:tcW w:w="100" w:type="dxa"/>
            <w:vAlign w:val="bottom"/>
          </w:tcPr>
          <w:p>
            <w:pPr>
              <w:spacing w:after="0"/>
              <w:rPr>
                <w:sz w:val="17"/>
                <w:szCs w:val="17"/>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26.3</w:t>
            </w:r>
          </w:p>
        </w:tc>
      </w:tr>
      <w:tr>
        <w:trPr>
          <w:trHeight w:val="33"/>
        </w:trPr>
        <w:tc>
          <w:tcPr>
            <w:tcW w:w="56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CACAC"/>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934</w:t>
            </w:r>
          </w:p>
        </w:tc>
        <w:tc>
          <w:tcPr>
            <w:tcW w:w="100" w:type="dxa"/>
            <w:vAlign w:val="bottom"/>
          </w:tcPr>
          <w:p>
            <w:pPr>
              <w:spacing w:after="0"/>
              <w:rPr>
                <w:sz w:val="18"/>
                <w:szCs w:val="18"/>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5.1</w:t>
            </w:r>
          </w:p>
        </w:tc>
      </w:tr>
      <w:tr>
        <w:trPr>
          <w:trHeight w:val="33"/>
        </w:trPr>
        <w:tc>
          <w:tcPr>
            <w:tcW w:w="560" w:type="dxa"/>
            <w:vAlign w:val="bottom"/>
            <w:tcBorders>
              <w:bottom w:val="single" w:sz="8" w:color="ACACAC"/>
            </w:tcBorders>
          </w:tcPr>
          <w:p>
            <w:pPr>
              <w:spacing w:after="0"/>
              <w:rPr>
                <w:sz w:val="2"/>
                <w:szCs w:val="2"/>
                <w:color w:val="auto"/>
              </w:rPr>
            </w:pPr>
          </w:p>
        </w:tc>
        <w:tc>
          <w:tcPr>
            <w:tcW w:w="102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CACAC"/>
            </w:tcBorders>
          </w:tcPr>
          <w:p>
            <w:pPr>
              <w:spacing w:after="0"/>
              <w:rPr>
                <w:sz w:val="2"/>
                <w:szCs w:val="2"/>
                <w:color w:val="auto"/>
              </w:rPr>
            </w:pPr>
          </w:p>
        </w:tc>
      </w:tr>
      <w:tr>
        <w:trPr>
          <w:trHeight w:val="217"/>
        </w:trPr>
        <w:tc>
          <w:tcPr>
            <w:tcW w:w="56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9,646</w:t>
            </w:r>
          </w:p>
        </w:tc>
        <w:tc>
          <w:tcPr>
            <w:tcW w:w="100" w:type="dxa"/>
            <w:vAlign w:val="bottom"/>
          </w:tcPr>
          <w:p>
            <w:pPr>
              <w:spacing w:after="0"/>
              <w:rPr>
                <w:sz w:val="18"/>
                <w:szCs w:val="18"/>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53.1</w:t>
            </w:r>
          </w:p>
        </w:tc>
      </w:tr>
      <w:tr>
        <w:trPr>
          <w:trHeight w:val="33"/>
        </w:trPr>
        <w:tc>
          <w:tcPr>
            <w:tcW w:w="56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005BA5"/>
            </w:tcBorders>
          </w:tcPr>
          <w:p>
            <w:pPr>
              <w:spacing w:after="0"/>
              <w:rPr>
                <w:sz w:val="2"/>
                <w:szCs w:val="2"/>
                <w:color w:val="auto"/>
              </w:rPr>
            </w:pPr>
          </w:p>
        </w:tc>
      </w:tr>
      <w:tr>
        <w:trPr>
          <w:trHeight w:val="217"/>
        </w:trPr>
        <w:tc>
          <w:tcPr>
            <w:tcW w:w="56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18,161</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100.0%</w:t>
            </w:r>
          </w:p>
        </w:tc>
      </w:tr>
      <w:tr>
        <w:trPr>
          <w:trHeight w:val="33"/>
        </w:trPr>
        <w:tc>
          <w:tcPr>
            <w:tcW w:w="560" w:type="dxa"/>
            <w:vAlign w:val="bottom"/>
            <w:tcBorders>
              <w:bottom w:val="single" w:sz="8" w:color="005BA5"/>
            </w:tcBorders>
          </w:tcPr>
          <w:p>
            <w:pPr>
              <w:spacing w:after="0"/>
              <w:rPr>
                <w:sz w:val="2"/>
                <w:szCs w:val="2"/>
                <w:color w:val="auto"/>
              </w:rPr>
            </w:pPr>
          </w:p>
        </w:tc>
        <w:tc>
          <w:tcPr>
            <w:tcW w:w="102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005BA5"/>
            </w:tcBorders>
          </w:tcPr>
          <w:p>
            <w:pPr>
              <w:spacing w:after="0"/>
              <w:rPr>
                <w:sz w:val="2"/>
                <w:szCs w:val="2"/>
                <w:color w:val="auto"/>
              </w:rPr>
            </w:pPr>
          </w:p>
        </w:tc>
      </w:tr>
    </w:tbl>
    <w:p>
      <w:pPr>
        <w:spacing w:after="0" w:line="69" w:lineRule="exact"/>
        <w:rPr>
          <w:sz w:val="20"/>
          <w:szCs w:val="20"/>
          <w:color w:val="auto"/>
        </w:rPr>
      </w:pPr>
    </w:p>
    <w:p>
      <w:pPr>
        <w:sectPr>
          <w:pgSz w:w="11900" w:h="16838" w:orient="portrait"/>
          <w:cols w:equalWidth="0" w:num="2">
            <w:col w:w="7360" w:space="720"/>
            <w:col w:w="3340"/>
          </w:cols>
          <w:pgMar w:left="240" w:top="141" w:right="239" w:bottom="1440" w:gutter="0" w:footer="0" w:header="0"/>
          <w:type w:val="continuous"/>
        </w:sectPr>
      </w:pPr>
    </w:p>
    <w:p>
      <w:pPr>
        <w:ind w:left="280" w:hanging="191"/>
        <w:spacing w:after="0" w:line="196" w:lineRule="auto"/>
        <w:tabs>
          <w:tab w:leader="none" w:pos="280" w:val="left"/>
        </w:tabs>
        <w:numPr>
          <w:ilvl w:val="0"/>
          <w:numId w:val="89"/>
        </w:numPr>
        <w:rPr>
          <w:rFonts w:ascii="Arial" w:cs="Arial" w:eastAsia="Arial" w:hAnsi="Arial"/>
          <w:sz w:val="23"/>
          <w:szCs w:val="23"/>
          <w:color w:val="005BA5"/>
          <w:vertAlign w:val="superscript"/>
        </w:rPr>
      </w:pPr>
      <w:r>
        <w:rPr>
          <w:rFonts w:ascii="Arial" w:cs="Arial" w:eastAsia="Arial" w:hAnsi="Arial"/>
          <w:sz w:val="14"/>
          <w:szCs w:val="14"/>
          <w:color w:val="auto"/>
        </w:rPr>
        <w:t>Includes $937 million of liabilities with a contractual surrender charge of less than 5% of the account balance.</w:t>
      </w:r>
    </w:p>
    <w:p>
      <w:pPr>
        <w:spacing w:after="0" w:line="44" w:lineRule="exact"/>
        <w:rPr>
          <w:rFonts w:ascii="Arial" w:cs="Arial" w:eastAsia="Arial" w:hAnsi="Arial"/>
          <w:sz w:val="23"/>
          <w:szCs w:val="23"/>
          <w:color w:val="005BA5"/>
          <w:vertAlign w:val="superscript"/>
        </w:rPr>
      </w:pPr>
    </w:p>
    <w:p>
      <w:pPr>
        <w:ind w:left="280" w:right="240" w:hanging="191"/>
        <w:spacing w:after="0" w:line="188" w:lineRule="auto"/>
        <w:tabs>
          <w:tab w:leader="none" w:pos="280" w:val="left"/>
        </w:tabs>
        <w:numPr>
          <w:ilvl w:val="0"/>
          <w:numId w:val="89"/>
        </w:numPr>
        <w:rPr>
          <w:rFonts w:ascii="Arial" w:cs="Arial" w:eastAsia="Arial" w:hAnsi="Arial"/>
          <w:sz w:val="23"/>
          <w:szCs w:val="23"/>
          <w:color w:val="005BA5"/>
          <w:vertAlign w:val="superscript"/>
        </w:rPr>
      </w:pPr>
      <w:r>
        <w:rPr>
          <w:rFonts w:ascii="Arial" w:cs="Arial" w:eastAsia="Arial" w:hAnsi="Arial"/>
          <w:sz w:val="14"/>
          <w:szCs w:val="14"/>
          <w:color w:val="auto"/>
        </w:rPr>
        <w:t>$462 million of the contracts with market value adjusted surrenders have a 30-45 day period at the end of their initial and subsequent interest rate guarantee periods (which are typically 1, 5, 7 or 10 years) during which there is no surrender charge or market value adjustment.</w:t>
      </w:r>
    </w:p>
    <w:p>
      <w:pPr>
        <w:spacing w:after="0" w:line="1" w:lineRule="exact"/>
        <w:rPr>
          <w:rFonts w:ascii="Arial" w:cs="Arial" w:eastAsia="Arial" w:hAnsi="Arial"/>
          <w:sz w:val="23"/>
          <w:szCs w:val="23"/>
          <w:color w:val="005BA5"/>
          <w:vertAlign w:val="superscript"/>
        </w:rPr>
      </w:pPr>
    </w:p>
    <w:p>
      <w:pPr>
        <w:ind w:left="280" w:hanging="191"/>
        <w:spacing w:after="0" w:line="196" w:lineRule="auto"/>
        <w:tabs>
          <w:tab w:leader="none" w:pos="280" w:val="left"/>
        </w:tabs>
        <w:numPr>
          <w:ilvl w:val="0"/>
          <w:numId w:val="89"/>
        </w:numPr>
        <w:rPr>
          <w:rFonts w:ascii="Arial" w:cs="Arial" w:eastAsia="Arial" w:hAnsi="Arial"/>
          <w:sz w:val="23"/>
          <w:szCs w:val="23"/>
          <w:color w:val="005BA5"/>
          <w:vertAlign w:val="superscript"/>
        </w:rPr>
      </w:pPr>
      <w:r>
        <w:rPr>
          <w:rFonts w:ascii="Arial" w:cs="Arial" w:eastAsia="Arial" w:hAnsi="Arial"/>
          <w:sz w:val="14"/>
          <w:szCs w:val="14"/>
          <w:color w:val="auto"/>
        </w:rPr>
        <w:t>89% of these contracts have a minimum interest crediting rate guarantee of 3% or higher.</w:t>
      </w:r>
    </w:p>
    <w:p>
      <w:pPr>
        <w:spacing w:after="0" w:line="43" w:lineRule="exact"/>
        <w:rPr>
          <w:rFonts w:ascii="Arial" w:cs="Arial" w:eastAsia="Arial" w:hAnsi="Arial"/>
          <w:sz w:val="23"/>
          <w:szCs w:val="23"/>
          <w:color w:val="005BA5"/>
          <w:vertAlign w:val="superscript"/>
        </w:rPr>
      </w:pPr>
    </w:p>
    <w:p>
      <w:pPr>
        <w:ind w:left="280" w:right="320" w:hanging="191"/>
        <w:spacing w:after="0" w:line="188" w:lineRule="auto"/>
        <w:tabs>
          <w:tab w:leader="none" w:pos="280" w:val="left"/>
        </w:tabs>
        <w:numPr>
          <w:ilvl w:val="0"/>
          <w:numId w:val="89"/>
        </w:numPr>
        <w:rPr>
          <w:rFonts w:ascii="Arial" w:cs="Arial" w:eastAsia="Arial" w:hAnsi="Arial"/>
          <w:sz w:val="23"/>
          <w:szCs w:val="23"/>
          <w:color w:val="005BA5"/>
          <w:vertAlign w:val="superscript"/>
        </w:rPr>
      </w:pPr>
      <w:r>
        <w:rPr>
          <w:rFonts w:ascii="Arial" w:cs="Arial" w:eastAsia="Arial" w:hAnsi="Arial"/>
          <w:sz w:val="14"/>
          <w:szCs w:val="14"/>
          <w:color w:val="auto"/>
        </w:rPr>
        <w:t>Includes $720 million of contractholder funds on variable annuities reinsured to The Prudential Insurance Company of America, a subsidiary of Prudential Financial Inc., in 2006.</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91</w:t>
      </w:r>
    </w:p>
    <w:p>
      <w:pPr>
        <w:sectPr>
          <w:pgSz w:w="11900" w:h="16838" w:orient="portrait"/>
          <w:cols w:equalWidth="0" w:num="1">
            <w:col w:w="11420"/>
          </w:cols>
          <w:pgMar w:left="240" w:top="141" w:right="2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6"/>
          <w:szCs w:val="16"/>
          <w:color w:val="005BA5"/>
        </w:rPr>
        <w:t>Capital Resources and Liquidity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6"/>
          <w:szCs w:val="16"/>
          <w:color w:val="auto"/>
        </w:rPr>
        <w:t>Retail life and annuity products may be surrendered by customers for a variety of reasons. Reasons unique to individual customers include a current or unexpected need for cash or a change in life insurance coverage needs.</w:t>
      </w:r>
    </w:p>
    <w:p>
      <w:pPr>
        <w:spacing w:after="0" w:line="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Other key factors that may impact the likelihood of customer surrender include the level of the contract surrender charge, the length of time the contract has been in force, distribution channel, market interest rates, equity market conditions and potential tax implications.</w:t>
      </w:r>
    </w:p>
    <w:p>
      <w:pPr>
        <w:spacing w:after="0" w:line="95" w:lineRule="exact"/>
        <w:rPr>
          <w:sz w:val="20"/>
          <w:szCs w:val="20"/>
          <w:color w:val="auto"/>
        </w:rPr>
      </w:pPr>
    </w:p>
    <w:p>
      <w:pPr>
        <w:ind w:right="120" w:firstLine="324"/>
        <w:spacing w:after="0" w:line="253" w:lineRule="auto"/>
        <w:rPr>
          <w:sz w:val="20"/>
          <w:szCs w:val="20"/>
          <w:color w:val="auto"/>
        </w:rPr>
      </w:pPr>
      <w:r>
        <w:rPr>
          <w:rFonts w:ascii="Arial" w:cs="Arial" w:eastAsia="Arial" w:hAnsi="Arial"/>
          <w:sz w:val="16"/>
          <w:szCs w:val="16"/>
          <w:color w:val="auto"/>
        </w:rPr>
        <w:t>In addition, the propensity for retail life insurance policies to lapse is lower than it is for fixed annuities because of the need for the insured to be re-underwritten upon policy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92 </w:t>
      </w:r>
      <w:r>
        <w:rPr>
          <w:sz w:val="1"/>
          <w:szCs w:val="1"/>
          <w:color w:val="auto"/>
        </w:rPr>
        <w:drawing>
          <wp:inline distT="0" distB="0" distL="0" distR="0">
            <wp:extent cx="111760" cy="111760"/>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24"/>
        <w:spacing w:after="0" w:line="248" w:lineRule="auto"/>
        <w:rPr>
          <w:sz w:val="20"/>
          <w:szCs w:val="20"/>
          <w:color w:val="auto"/>
        </w:rPr>
      </w:pPr>
      <w:r>
        <w:rPr>
          <w:rFonts w:ascii="Arial" w:cs="Arial" w:eastAsia="Arial" w:hAnsi="Arial"/>
          <w:sz w:val="16"/>
          <w:szCs w:val="16"/>
          <w:color w:val="auto"/>
        </w:rPr>
        <w:t>The annualized surrender and partial withdrawal rate on deferred fixed annuities and interest-sensitive life insurance products, based on the beginning of year contractholder funds, was 7.0% in both the first three months of 2019 and 2018, respectively. We strive to promptly pay customers who request cash surrenders; however, statutory regulations generally provide up to six months in most states to fulfill surrender requests.</w:t>
      </w:r>
    </w:p>
    <w:p>
      <w:pPr>
        <w:spacing w:after="0" w:line="101" w:lineRule="exact"/>
        <w:rPr>
          <w:sz w:val="20"/>
          <w:szCs w:val="20"/>
          <w:color w:val="auto"/>
        </w:rPr>
      </w:pPr>
    </w:p>
    <w:p>
      <w:pPr>
        <w:ind w:right="80" w:firstLine="324"/>
        <w:spacing w:after="0" w:line="251" w:lineRule="auto"/>
        <w:rPr>
          <w:sz w:val="20"/>
          <w:szCs w:val="20"/>
          <w:color w:val="auto"/>
        </w:rPr>
      </w:pPr>
      <w:r>
        <w:rPr>
          <w:rFonts w:ascii="Arial" w:cs="Arial" w:eastAsia="Arial" w:hAnsi="Arial"/>
          <w:sz w:val="16"/>
          <w:szCs w:val="16"/>
          <w:color w:val="auto"/>
        </w:rPr>
        <w:t>Our asset-liability management practices enable us to manage the differences between the cash flows generated by our investment portfolio and the expected cash flow requirements of our life insurance and annuity product obligations.</w:t>
      </w:r>
    </w:p>
    <w:p>
      <w:pPr>
        <w:sectPr>
          <w:pgSz w:w="11900" w:h="16838" w:orient="portrait"/>
          <w:cols w:equalWidth="0" w:num="2">
            <w:col w:w="5480" w:space="460"/>
            <w:col w:w="5380"/>
          </w:cols>
          <w:pgMar w:left="240" w:top="141" w:right="339" w:bottom="1440" w:gutter="0" w:footer="0" w:header="0"/>
        </w:sectPr>
      </w:pPr>
    </w:p>
    <w:bookmarkStart w:id="96" w:name="page97"/>
    <w:bookmarkEnd w:id="96"/>
    <w:p>
      <w:pPr>
        <w:spacing w:after="0"/>
        <w:rPr>
          <w:sz w:val="20"/>
          <w:szCs w:val="20"/>
          <w:color w:val="auto"/>
        </w:rPr>
      </w:pPr>
      <w:r>
        <w:rPr>
          <w:rFonts w:ascii="Arial" w:cs="Arial" w:eastAsia="Arial" w:hAnsi="Arial"/>
          <w:sz w:val="20"/>
          <w:szCs w:val="20"/>
          <w:b w:val="1"/>
          <w:bCs w:val="1"/>
          <w:color w:val="1666AF"/>
        </w:rPr>
        <w:t>Forward-Looking Statements</w:t>
      </w:r>
    </w:p>
    <w:p>
      <w:pPr>
        <w:spacing w:after="0" w:line="137" w:lineRule="exact"/>
        <w:rPr>
          <w:sz w:val="20"/>
          <w:szCs w:val="20"/>
          <w:color w:val="auto"/>
        </w:rPr>
      </w:pPr>
    </w:p>
    <w:p>
      <w:pPr>
        <w:ind w:right="80" w:firstLine="243"/>
        <w:spacing w:after="0" w:line="248" w:lineRule="auto"/>
        <w:rPr>
          <w:sz w:val="20"/>
          <w:szCs w:val="20"/>
          <w:color w:val="auto"/>
        </w:rPr>
      </w:pPr>
      <w:r>
        <w:rPr>
          <w:rFonts w:ascii="Arial" w:cs="Arial" w:eastAsia="Arial" w:hAnsi="Arial"/>
          <w:sz w:val="16"/>
          <w:szCs w:val="16"/>
          <w:color w:val="auto"/>
        </w:rPr>
        <w:t>This report contains “forward-looking statements” that anticipate results based on our estimates, assumptions and plans that are subject to uncertainty. These statements are made subject to the safe-harbor provisions of the Private Securities Litigation Reform Act of 1995. These forward-looking statements do not relate strictly to historical or current facts and may be identified by their use of words like “plans,” “seeks,” “expects,” “will,” “should,” “anticipates,” “estimates,” “intends,” “believes,” “likely,” “targets” and other words with similar meanings. We believe these statements are based on reasonable estimates, assumptions and plans. If the estimates, assumptions or plans underlying the forward-looking statements prove inaccurate or if other risks or uncertainties arise, actual results could differ materially from those communicated in these forward-looking statements. Factors that could cause actual results to differ materially from those expressed in, or implied by, the forward-looking statements include risks related to:</w:t>
      </w:r>
    </w:p>
    <w:p>
      <w:pPr>
        <w:spacing w:after="0" w:line="8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1666AF"/>
        </w:rPr>
        <w:t xml:space="preserve">Insurance Industry Risks </w:t>
      </w:r>
      <w:r>
        <w:rPr>
          <w:rFonts w:ascii="Arial" w:cs="Arial" w:eastAsia="Arial" w:hAnsi="Arial"/>
          <w:sz w:val="16"/>
          <w:szCs w:val="16"/>
          <w:color w:val="005BA5"/>
        </w:rPr>
        <w:t>(1)</w:t>
      </w:r>
      <w:r>
        <w:rPr>
          <w:rFonts w:ascii="Arial" w:cs="Arial" w:eastAsia="Arial" w:hAnsi="Arial"/>
          <w:sz w:val="16"/>
          <w:szCs w:val="16"/>
          <w:b w:val="1"/>
          <w:bCs w:val="1"/>
          <w:color w:val="1666AF"/>
        </w:rPr>
        <w:t xml:space="preserve"> </w:t>
      </w:r>
      <w:r>
        <w:rPr>
          <w:rFonts w:ascii="Arial" w:cs="Arial" w:eastAsia="Arial" w:hAnsi="Arial"/>
          <w:sz w:val="16"/>
          <w:szCs w:val="16"/>
          <w:color w:val="000000"/>
        </w:rPr>
        <w:t>adverse changes in the nature and level of catastrophes and severe weather events;</w:t>
      </w:r>
      <w:r>
        <w:rPr>
          <w:rFonts w:ascii="Arial" w:cs="Arial" w:eastAsia="Arial" w:hAnsi="Arial"/>
          <w:sz w:val="16"/>
          <w:szCs w:val="16"/>
          <w:b w:val="1"/>
          <w:bCs w:val="1"/>
          <w:color w:val="1666AF"/>
        </w:rPr>
        <w:t xml:space="preserve"> </w:t>
      </w:r>
      <w:r>
        <w:rPr>
          <w:rFonts w:ascii="Arial" w:cs="Arial" w:eastAsia="Arial" w:hAnsi="Arial"/>
          <w:sz w:val="16"/>
          <w:szCs w:val="16"/>
          <w:color w:val="005BA5"/>
        </w:rPr>
        <w:t>(2)</w:t>
      </w:r>
      <w:r>
        <w:rPr>
          <w:rFonts w:ascii="Arial" w:cs="Arial" w:eastAsia="Arial" w:hAnsi="Arial"/>
          <w:sz w:val="16"/>
          <w:szCs w:val="16"/>
          <w:b w:val="1"/>
          <w:bCs w:val="1"/>
          <w:color w:val="1666AF"/>
        </w:rPr>
        <w:t xml:space="preserve"> </w:t>
      </w:r>
      <w:r>
        <w:rPr>
          <w:rFonts w:ascii="Arial" w:cs="Arial" w:eastAsia="Arial" w:hAnsi="Arial"/>
          <w:sz w:val="16"/>
          <w:szCs w:val="16"/>
          <w:color w:val="000000"/>
        </w:rPr>
        <w:t>our catastrophe management strategy</w:t>
      </w:r>
      <w:r>
        <w:rPr>
          <w:rFonts w:ascii="Arial" w:cs="Arial" w:eastAsia="Arial" w:hAnsi="Arial"/>
          <w:sz w:val="16"/>
          <w:szCs w:val="16"/>
          <w:b w:val="1"/>
          <w:bCs w:val="1"/>
          <w:color w:val="1666AF"/>
        </w:rPr>
        <w:t xml:space="preserve"> </w:t>
      </w:r>
      <w:r>
        <w:rPr>
          <w:rFonts w:ascii="Arial" w:cs="Arial" w:eastAsia="Arial" w:hAnsi="Arial"/>
          <w:sz w:val="16"/>
          <w:szCs w:val="16"/>
          <w:color w:val="000000"/>
        </w:rPr>
        <w:t xml:space="preserve">on premium growth; </w:t>
      </w:r>
      <w:r>
        <w:rPr>
          <w:rFonts w:ascii="Arial" w:cs="Arial" w:eastAsia="Arial" w:hAnsi="Arial"/>
          <w:sz w:val="16"/>
          <w:szCs w:val="16"/>
          <w:color w:val="005BA5"/>
        </w:rPr>
        <w:t>(3)</w:t>
      </w:r>
      <w:r>
        <w:rPr>
          <w:rFonts w:ascii="Arial" w:cs="Arial" w:eastAsia="Arial" w:hAnsi="Arial"/>
          <w:sz w:val="16"/>
          <w:szCs w:val="16"/>
          <w:color w:val="000000"/>
        </w:rPr>
        <w:t xml:space="preserve"> unexpected increases in the frequency or severity of claims; </w:t>
      </w:r>
      <w:r>
        <w:rPr>
          <w:rFonts w:ascii="Arial" w:cs="Arial" w:eastAsia="Arial" w:hAnsi="Arial"/>
          <w:sz w:val="16"/>
          <w:szCs w:val="16"/>
          <w:color w:val="005BA5"/>
        </w:rPr>
        <w:t>(4)</w:t>
      </w:r>
      <w:r>
        <w:rPr>
          <w:rFonts w:ascii="Arial" w:cs="Arial" w:eastAsia="Arial" w:hAnsi="Arial"/>
          <w:sz w:val="16"/>
          <w:szCs w:val="16"/>
          <w:color w:val="000000"/>
        </w:rPr>
        <w:t xml:space="preserve"> the cyclical nature of the property and casualty businesses; </w:t>
      </w:r>
      <w:r>
        <w:rPr>
          <w:rFonts w:ascii="Arial" w:cs="Arial" w:eastAsia="Arial" w:hAnsi="Arial"/>
          <w:sz w:val="16"/>
          <w:szCs w:val="16"/>
          <w:color w:val="005BA5"/>
        </w:rPr>
        <w:t>(5)</w:t>
      </w:r>
      <w:r>
        <w:rPr>
          <w:rFonts w:ascii="Arial" w:cs="Arial" w:eastAsia="Arial" w:hAnsi="Arial"/>
          <w:sz w:val="16"/>
          <w:szCs w:val="16"/>
          <w:color w:val="000000"/>
        </w:rPr>
        <w:t xml:space="preserve"> the availability of reinsurance at current levels and prices; </w:t>
      </w:r>
      <w:r>
        <w:rPr>
          <w:rFonts w:ascii="Arial" w:cs="Arial" w:eastAsia="Arial" w:hAnsi="Arial"/>
          <w:sz w:val="16"/>
          <w:szCs w:val="16"/>
          <w:color w:val="005BA5"/>
        </w:rPr>
        <w:t>(6)</w:t>
      </w:r>
      <w:r>
        <w:rPr>
          <w:rFonts w:ascii="Arial" w:cs="Arial" w:eastAsia="Arial" w:hAnsi="Arial"/>
          <w:sz w:val="16"/>
          <w:szCs w:val="16"/>
          <w:color w:val="000000"/>
        </w:rPr>
        <w:t xml:space="preserve"> risk of our reinsurers; </w:t>
      </w:r>
      <w:r>
        <w:rPr>
          <w:rFonts w:ascii="Arial" w:cs="Arial" w:eastAsia="Arial" w:hAnsi="Arial"/>
          <w:sz w:val="16"/>
          <w:szCs w:val="16"/>
          <w:color w:val="005BA5"/>
        </w:rPr>
        <w:t>(7)</w:t>
      </w:r>
      <w:r>
        <w:rPr>
          <w:rFonts w:ascii="Arial" w:cs="Arial" w:eastAsia="Arial" w:hAnsi="Arial"/>
          <w:sz w:val="16"/>
          <w:szCs w:val="16"/>
          <w:color w:val="000000"/>
        </w:rPr>
        <w:t xml:space="preserve"> changing climate and weather conditions; </w:t>
      </w:r>
      <w:r>
        <w:rPr>
          <w:rFonts w:ascii="Arial" w:cs="Arial" w:eastAsia="Arial" w:hAnsi="Arial"/>
          <w:sz w:val="16"/>
          <w:szCs w:val="16"/>
          <w:color w:val="005BA5"/>
        </w:rPr>
        <w:t>(8)</w:t>
      </w:r>
      <w:r>
        <w:rPr>
          <w:rFonts w:ascii="Arial" w:cs="Arial" w:eastAsia="Arial" w:hAnsi="Arial"/>
          <w:sz w:val="16"/>
          <w:szCs w:val="16"/>
          <w:color w:val="000000"/>
        </w:rPr>
        <w:t xml:space="preserve"> changes in underwriting and actual experience; </w:t>
      </w:r>
      <w:r>
        <w:rPr>
          <w:rFonts w:ascii="Arial" w:cs="Arial" w:eastAsia="Arial" w:hAnsi="Arial"/>
          <w:sz w:val="16"/>
          <w:szCs w:val="16"/>
          <w:color w:val="005BA5"/>
        </w:rPr>
        <w:t>(9)</w:t>
      </w:r>
      <w:r>
        <w:rPr>
          <w:rFonts w:ascii="Arial" w:cs="Arial" w:eastAsia="Arial" w:hAnsi="Arial"/>
          <w:sz w:val="16"/>
          <w:szCs w:val="16"/>
          <w:color w:val="000000"/>
        </w:rPr>
        <w:t xml:space="preserve"> changes in reserve estimates; </w:t>
      </w:r>
      <w:r>
        <w:rPr>
          <w:rFonts w:ascii="Arial" w:cs="Arial" w:eastAsia="Arial" w:hAnsi="Arial"/>
          <w:sz w:val="16"/>
          <w:szCs w:val="16"/>
          <w:color w:val="005BA5"/>
        </w:rPr>
        <w:t>(10)</w:t>
      </w:r>
      <w:r>
        <w:rPr>
          <w:rFonts w:ascii="Arial" w:cs="Arial" w:eastAsia="Arial" w:hAnsi="Arial"/>
          <w:sz w:val="16"/>
          <w:szCs w:val="16"/>
          <w:color w:val="000000"/>
        </w:rPr>
        <w:t xml:space="preserve"> changes in estimates of profitability on interest-sensitive life products</w:t>
      </w:r>
    </w:p>
    <w:p>
      <w:pPr>
        <w:spacing w:after="0" w:line="70"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1666AF"/>
        </w:rPr>
        <w:t xml:space="preserve">Financial Risks </w:t>
      </w:r>
      <w:r>
        <w:rPr>
          <w:rFonts w:ascii="Arial" w:cs="Arial" w:eastAsia="Arial" w:hAnsi="Arial"/>
          <w:sz w:val="16"/>
          <w:szCs w:val="16"/>
          <w:color w:val="005BA5"/>
        </w:rPr>
        <w:t>(11)</w:t>
      </w:r>
      <w:r>
        <w:rPr>
          <w:rFonts w:ascii="Arial" w:cs="Arial" w:eastAsia="Arial" w:hAnsi="Arial"/>
          <w:sz w:val="16"/>
          <w:szCs w:val="16"/>
          <w:b w:val="1"/>
          <w:bCs w:val="1"/>
          <w:color w:val="1666AF"/>
        </w:rPr>
        <w:t xml:space="preserve"> </w:t>
      </w:r>
      <w:r>
        <w:rPr>
          <w:rFonts w:ascii="Arial" w:cs="Arial" w:eastAsia="Arial" w:hAnsi="Arial"/>
          <w:sz w:val="16"/>
          <w:szCs w:val="16"/>
          <w:color w:val="000000"/>
        </w:rPr>
        <w:t>conditions in the global economy and capital markets;</w:t>
      </w:r>
      <w:r>
        <w:rPr>
          <w:rFonts w:ascii="Arial" w:cs="Arial" w:eastAsia="Arial" w:hAnsi="Arial"/>
          <w:sz w:val="16"/>
          <w:szCs w:val="16"/>
          <w:b w:val="1"/>
          <w:bCs w:val="1"/>
          <w:color w:val="1666AF"/>
        </w:rPr>
        <w:t xml:space="preserve"> </w:t>
      </w:r>
      <w:r>
        <w:rPr>
          <w:rFonts w:ascii="Arial" w:cs="Arial" w:eastAsia="Arial" w:hAnsi="Arial"/>
          <w:sz w:val="16"/>
          <w:szCs w:val="16"/>
          <w:color w:val="005BA5"/>
        </w:rPr>
        <w:t>(12)</w:t>
      </w:r>
      <w:r>
        <w:rPr>
          <w:rFonts w:ascii="Arial" w:cs="Arial" w:eastAsia="Arial" w:hAnsi="Arial"/>
          <w:sz w:val="16"/>
          <w:szCs w:val="16"/>
          <w:b w:val="1"/>
          <w:bCs w:val="1"/>
          <w:color w:val="1666AF"/>
        </w:rPr>
        <w:t xml:space="preserve"> </w:t>
      </w:r>
      <w:r>
        <w:rPr>
          <w:rFonts w:ascii="Arial" w:cs="Arial" w:eastAsia="Arial" w:hAnsi="Arial"/>
          <w:sz w:val="16"/>
          <w:szCs w:val="16"/>
          <w:color w:val="000000"/>
        </w:rPr>
        <w:t>a downgrade in financial strength ratings;</w:t>
      </w:r>
      <w:r>
        <w:rPr>
          <w:rFonts w:ascii="Arial" w:cs="Arial" w:eastAsia="Arial" w:hAnsi="Arial"/>
          <w:sz w:val="16"/>
          <w:szCs w:val="16"/>
          <w:b w:val="1"/>
          <w:bCs w:val="1"/>
          <w:color w:val="1666AF"/>
        </w:rPr>
        <w:t xml:space="preserve"> </w:t>
      </w:r>
      <w:r>
        <w:rPr>
          <w:rFonts w:ascii="Arial" w:cs="Arial" w:eastAsia="Arial" w:hAnsi="Arial"/>
          <w:sz w:val="16"/>
          <w:szCs w:val="16"/>
          <w:color w:val="005BA5"/>
        </w:rPr>
        <w:t>(13)</w:t>
      </w:r>
      <w:r>
        <w:rPr>
          <w:rFonts w:ascii="Arial" w:cs="Arial" w:eastAsia="Arial" w:hAnsi="Arial"/>
          <w:sz w:val="16"/>
          <w:szCs w:val="16"/>
          <w:b w:val="1"/>
          <w:bCs w:val="1"/>
          <w:color w:val="1666AF"/>
        </w:rPr>
        <w:t xml:space="preserve"> </w:t>
      </w:r>
      <w:r>
        <w:rPr>
          <w:rFonts w:ascii="Arial" w:cs="Arial" w:eastAsia="Arial" w:hAnsi="Arial"/>
          <w:sz w:val="16"/>
          <w:szCs w:val="16"/>
          <w:color w:val="000000"/>
        </w:rPr>
        <w:t>the effect of adverse capital and</w:t>
      </w:r>
      <w:r>
        <w:rPr>
          <w:rFonts w:ascii="Arial" w:cs="Arial" w:eastAsia="Arial" w:hAnsi="Arial"/>
          <w:sz w:val="16"/>
          <w:szCs w:val="16"/>
          <w:b w:val="1"/>
          <w:bCs w:val="1"/>
          <w:color w:val="1666AF"/>
        </w:rPr>
        <w:t xml:space="preserve"> </w:t>
      </w:r>
      <w:r>
        <w:rPr>
          <w:rFonts w:ascii="Arial" w:cs="Arial" w:eastAsia="Arial" w:hAnsi="Arial"/>
          <w:sz w:val="16"/>
          <w:szCs w:val="16"/>
          <w:color w:val="000000"/>
        </w:rPr>
        <w:t xml:space="preserve">credit market conditions; </w:t>
      </w:r>
      <w:r>
        <w:rPr>
          <w:rFonts w:ascii="Arial" w:cs="Arial" w:eastAsia="Arial" w:hAnsi="Arial"/>
          <w:sz w:val="16"/>
          <w:szCs w:val="16"/>
          <w:color w:val="005BA5"/>
        </w:rPr>
        <w:t>(14)</w:t>
      </w:r>
      <w:r>
        <w:rPr>
          <w:rFonts w:ascii="Arial" w:cs="Arial" w:eastAsia="Arial" w:hAnsi="Arial"/>
          <w:sz w:val="16"/>
          <w:szCs w:val="16"/>
          <w:color w:val="000000"/>
        </w:rPr>
        <w:t xml:space="preserve"> possible impairments in the value of goodwill; </w:t>
      </w:r>
      <w:r>
        <w:rPr>
          <w:rFonts w:ascii="Arial" w:cs="Arial" w:eastAsia="Arial" w:hAnsi="Arial"/>
          <w:sz w:val="16"/>
          <w:szCs w:val="16"/>
          <w:color w:val="005BA5"/>
        </w:rPr>
        <w:t>(15)</w:t>
      </w:r>
      <w:r>
        <w:rPr>
          <w:rFonts w:ascii="Arial" w:cs="Arial" w:eastAsia="Arial" w:hAnsi="Arial"/>
          <w:sz w:val="16"/>
          <w:szCs w:val="16"/>
          <w:color w:val="000000"/>
        </w:rPr>
        <w:t xml:space="preserve"> the realization of deferred tax assets; </w:t>
      </w:r>
      <w:r>
        <w:rPr>
          <w:rFonts w:ascii="Arial" w:cs="Arial" w:eastAsia="Arial" w:hAnsi="Arial"/>
          <w:sz w:val="16"/>
          <w:szCs w:val="16"/>
          <w:color w:val="005BA5"/>
        </w:rPr>
        <w:t>(16)</w:t>
      </w:r>
      <w:r>
        <w:rPr>
          <w:rFonts w:ascii="Arial" w:cs="Arial" w:eastAsia="Arial" w:hAnsi="Arial"/>
          <w:sz w:val="16"/>
          <w:szCs w:val="16"/>
          <w:color w:val="000000"/>
        </w:rPr>
        <w:t xml:space="preserve"> restrictions on our subsidiaries’ ability to pay dividends; </w:t>
      </w:r>
      <w:r>
        <w:rPr>
          <w:rFonts w:ascii="Arial" w:cs="Arial" w:eastAsia="Arial" w:hAnsi="Arial"/>
          <w:sz w:val="16"/>
          <w:szCs w:val="16"/>
          <w:color w:val="005BA5"/>
        </w:rPr>
        <w:t>(17)</w:t>
      </w:r>
      <w:r>
        <w:rPr>
          <w:rFonts w:ascii="Arial" w:cs="Arial" w:eastAsia="Arial" w:hAnsi="Arial"/>
          <w:sz w:val="16"/>
          <w:szCs w:val="16"/>
          <w:color w:val="000000"/>
        </w:rPr>
        <w:t xml:space="preserve"> restrictions under the terms of certain of our securities on our ability to pay dividends or repurchase our stock</w:t>
      </w:r>
    </w:p>
    <w:p>
      <w:pPr>
        <w:spacing w:after="0" w:line="64"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b w:val="1"/>
          <w:bCs w:val="1"/>
          <w:color w:val="1666AF"/>
        </w:rPr>
        <w:t xml:space="preserve">Investment Risks </w:t>
      </w:r>
      <w:r>
        <w:rPr>
          <w:rFonts w:ascii="Arial" w:cs="Arial" w:eastAsia="Arial" w:hAnsi="Arial"/>
          <w:sz w:val="16"/>
          <w:szCs w:val="16"/>
          <w:color w:val="005BA5"/>
        </w:rPr>
        <w:t>(18)</w:t>
      </w:r>
      <w:r>
        <w:rPr>
          <w:rFonts w:ascii="Arial" w:cs="Arial" w:eastAsia="Arial" w:hAnsi="Arial"/>
          <w:sz w:val="16"/>
          <w:szCs w:val="16"/>
          <w:b w:val="1"/>
          <w:bCs w:val="1"/>
          <w:color w:val="1666AF"/>
        </w:rPr>
        <w:t xml:space="preserve"> </w:t>
      </w:r>
      <w:r>
        <w:rPr>
          <w:rFonts w:ascii="Arial" w:cs="Arial" w:eastAsia="Arial" w:hAnsi="Arial"/>
          <w:sz w:val="16"/>
          <w:szCs w:val="16"/>
          <w:color w:val="000000"/>
        </w:rPr>
        <w:t>market risk and declines in credit quality relating to our investment portfolio;</w:t>
      </w:r>
      <w:r>
        <w:rPr>
          <w:rFonts w:ascii="Arial" w:cs="Arial" w:eastAsia="Arial" w:hAnsi="Arial"/>
          <w:sz w:val="16"/>
          <w:szCs w:val="16"/>
          <w:b w:val="1"/>
          <w:bCs w:val="1"/>
          <w:color w:val="1666AF"/>
        </w:rPr>
        <w:t xml:space="preserve"> </w:t>
      </w:r>
      <w:r>
        <w:rPr>
          <w:rFonts w:ascii="Arial" w:cs="Arial" w:eastAsia="Arial" w:hAnsi="Arial"/>
          <w:sz w:val="16"/>
          <w:szCs w:val="16"/>
          <w:color w:val="005BA5"/>
        </w:rPr>
        <w:t>(19)</w:t>
      </w:r>
      <w:r>
        <w:rPr>
          <w:rFonts w:ascii="Arial" w:cs="Arial" w:eastAsia="Arial" w:hAnsi="Arial"/>
          <w:sz w:val="16"/>
          <w:szCs w:val="16"/>
          <w:b w:val="1"/>
          <w:bCs w:val="1"/>
          <w:color w:val="1666AF"/>
        </w:rPr>
        <w:t xml:space="preserve"> </w:t>
      </w:r>
      <w:r>
        <w:rPr>
          <w:rFonts w:ascii="Arial" w:cs="Arial" w:eastAsia="Arial" w:hAnsi="Arial"/>
          <w:sz w:val="16"/>
          <w:szCs w:val="16"/>
          <w:color w:val="000000"/>
        </w:rPr>
        <w:t>our subjective determination of the amount of realized</w:t>
      </w:r>
      <w:r>
        <w:rPr>
          <w:rFonts w:ascii="Arial" w:cs="Arial" w:eastAsia="Arial" w:hAnsi="Arial"/>
          <w:sz w:val="16"/>
          <w:szCs w:val="16"/>
          <w:b w:val="1"/>
          <w:bCs w:val="1"/>
          <w:color w:val="1666AF"/>
        </w:rPr>
        <w:t xml:space="preserve"> </w:t>
      </w:r>
      <w:r>
        <w:rPr>
          <w:rFonts w:ascii="Arial" w:cs="Arial" w:eastAsia="Arial" w:hAnsi="Arial"/>
          <w:sz w:val="16"/>
          <w:szCs w:val="16"/>
          <w:color w:val="000000"/>
        </w:rPr>
        <w:t xml:space="preserve">capital losses recorded for impairments of our investments and the fair value of our fixed income and equity securities; </w:t>
      </w:r>
      <w:r>
        <w:rPr>
          <w:rFonts w:ascii="Arial" w:cs="Arial" w:eastAsia="Arial" w:hAnsi="Arial"/>
          <w:sz w:val="16"/>
          <w:szCs w:val="16"/>
          <w:color w:val="005BA5"/>
        </w:rPr>
        <w:t>(20)</w:t>
      </w:r>
      <w:r>
        <w:rPr>
          <w:rFonts w:ascii="Arial" w:cs="Arial" w:eastAsia="Arial" w:hAnsi="Arial"/>
          <w:sz w:val="16"/>
          <w:szCs w:val="16"/>
          <w:color w:val="000000"/>
        </w:rPr>
        <w:t xml:space="preserve"> the influence of changes in market interest rates or performance-based investment returns on our annuity business</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color w:val="1666AF"/>
        </w:rPr>
        <w:t xml:space="preserve">Operational Risks </w:t>
      </w:r>
      <w:r>
        <w:rPr>
          <w:rFonts w:ascii="Arial" w:cs="Arial" w:eastAsia="Arial" w:hAnsi="Arial"/>
          <w:sz w:val="16"/>
          <w:szCs w:val="16"/>
          <w:color w:val="005BA5"/>
        </w:rPr>
        <w:t>(21)</w:t>
      </w:r>
      <w:r>
        <w:rPr>
          <w:rFonts w:ascii="Arial" w:cs="Arial" w:eastAsia="Arial" w:hAnsi="Arial"/>
          <w:sz w:val="16"/>
          <w:szCs w:val="16"/>
          <w:b w:val="1"/>
          <w:bCs w:val="1"/>
          <w:color w:val="1666AF"/>
        </w:rPr>
        <w:t xml:space="preserve"> </w:t>
      </w:r>
      <w:r>
        <w:rPr>
          <w:rFonts w:ascii="Arial" w:cs="Arial" w:eastAsia="Arial" w:hAnsi="Arial"/>
          <w:sz w:val="16"/>
          <w:szCs w:val="16"/>
          <w:color w:val="000000"/>
        </w:rPr>
        <w:t>impacts of new or changing technologies on our business;</w:t>
      </w:r>
      <w:r>
        <w:rPr>
          <w:rFonts w:ascii="Arial" w:cs="Arial" w:eastAsia="Arial" w:hAnsi="Arial"/>
          <w:sz w:val="16"/>
          <w:szCs w:val="16"/>
          <w:b w:val="1"/>
          <w:bCs w:val="1"/>
          <w:color w:val="1666AF"/>
        </w:rPr>
        <w:t xml:space="preserve"> </w:t>
      </w:r>
      <w:r>
        <w:rPr>
          <w:rFonts w:ascii="Arial" w:cs="Arial" w:eastAsia="Arial" w:hAnsi="Arial"/>
          <w:sz w:val="16"/>
          <w:szCs w:val="16"/>
          <w:color w:val="005BA5"/>
        </w:rPr>
        <w:t>(22)</w:t>
      </w:r>
      <w:r>
        <w:rPr>
          <w:rFonts w:ascii="Arial" w:cs="Arial" w:eastAsia="Arial" w:hAnsi="Arial"/>
          <w:sz w:val="16"/>
          <w:szCs w:val="16"/>
          <w:b w:val="1"/>
          <w:bCs w:val="1"/>
          <w:color w:val="1666AF"/>
        </w:rPr>
        <w:t xml:space="preserve"> </w:t>
      </w:r>
      <w:r>
        <w:rPr>
          <w:rFonts w:ascii="Arial" w:cs="Arial" w:eastAsia="Arial" w:hAnsi="Arial"/>
          <w:sz w:val="16"/>
          <w:szCs w:val="16"/>
          <w:color w:val="000000"/>
        </w:rPr>
        <w:t>failure in cyber or other information security controls, as well as the</w:t>
      </w:r>
      <w:r>
        <w:rPr>
          <w:rFonts w:ascii="Arial" w:cs="Arial" w:eastAsia="Arial" w:hAnsi="Arial"/>
          <w:sz w:val="16"/>
          <w:szCs w:val="16"/>
          <w:b w:val="1"/>
          <w:bCs w:val="1"/>
          <w:color w:val="1666AF"/>
        </w:rPr>
        <w:t xml:space="preserve"> </w:t>
      </w:r>
      <w:r>
        <w:rPr>
          <w:rFonts w:ascii="Arial" w:cs="Arial" w:eastAsia="Arial" w:hAnsi="Arial"/>
          <w:sz w:val="16"/>
          <w:szCs w:val="16"/>
          <w:color w:val="000000"/>
        </w:rPr>
        <w:t xml:space="preserve">occurrence of events unanticipated in our disaster recovery systems and business continuity planning; </w:t>
      </w:r>
      <w:r>
        <w:rPr>
          <w:rFonts w:ascii="Arial" w:cs="Arial" w:eastAsia="Arial" w:hAnsi="Arial"/>
          <w:sz w:val="16"/>
          <w:szCs w:val="16"/>
          <w:color w:val="005BA5"/>
        </w:rPr>
        <w:t>(23)</w:t>
      </w:r>
      <w:r>
        <w:rPr>
          <w:rFonts w:ascii="Arial" w:cs="Arial" w:eastAsia="Arial" w:hAnsi="Arial"/>
          <w:sz w:val="16"/>
          <w:szCs w:val="16"/>
          <w:color w:val="000000"/>
        </w:rPr>
        <w:t xml:space="preserve"> misconduct or fraudulent acts by employees, agents and third parties; </w:t>
      </w:r>
      <w:r>
        <w:rPr>
          <w:rFonts w:ascii="Arial" w:cs="Arial" w:eastAsia="Arial" w:hAnsi="Arial"/>
          <w:sz w:val="16"/>
          <w:szCs w:val="16"/>
          <w:color w:val="005BA5"/>
        </w:rPr>
        <w:t>(24)</w:t>
      </w:r>
      <w:r>
        <w:rPr>
          <w:rFonts w:ascii="Arial" w:cs="Arial" w:eastAsia="Arial" w:hAnsi="Arial"/>
          <w:sz w:val="16"/>
          <w:szCs w:val="16"/>
          <w:color w:val="000000"/>
        </w:rPr>
        <w:t xml:space="preserve"> the impact of a large scale pandemic, the threat or occurrence of terrorism or military action; </w:t>
      </w:r>
      <w:r>
        <w:rPr>
          <w:rFonts w:ascii="Arial" w:cs="Arial" w:eastAsia="Arial" w:hAnsi="Arial"/>
          <w:sz w:val="16"/>
          <w:szCs w:val="16"/>
          <w:color w:val="005BA5"/>
        </w:rPr>
        <w:t>(25)</w:t>
      </w:r>
      <w:r>
        <w:rPr>
          <w:rFonts w:ascii="Arial" w:cs="Arial" w:eastAsia="Arial" w:hAnsi="Arial"/>
          <w:sz w:val="16"/>
          <w:szCs w:val="16"/>
          <w:color w:val="000000"/>
        </w:rPr>
        <w:t xml:space="preserve"> loss of key vendor relationships or failure of a vendor to protect confidential, proprietary and personal information; </w:t>
      </w:r>
      <w:r>
        <w:rPr>
          <w:rFonts w:ascii="Arial" w:cs="Arial" w:eastAsia="Arial" w:hAnsi="Arial"/>
          <w:sz w:val="16"/>
          <w:szCs w:val="16"/>
          <w:color w:val="005BA5"/>
        </w:rPr>
        <w:t>(26)</w:t>
      </w:r>
      <w:r>
        <w:rPr>
          <w:rFonts w:ascii="Arial" w:cs="Arial" w:eastAsia="Arial" w:hAnsi="Arial"/>
          <w:sz w:val="16"/>
          <w:szCs w:val="16"/>
          <w:color w:val="000000"/>
        </w:rPr>
        <w:t xml:space="preserve"> intellectual property infringement, misappropriation and third party claims</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b w:val="1"/>
          <w:bCs w:val="1"/>
          <w:color w:val="1666AF"/>
        </w:rPr>
        <w:t xml:space="preserve">Regulatory and Legal Risks </w:t>
      </w:r>
      <w:r>
        <w:rPr>
          <w:rFonts w:ascii="Arial" w:cs="Arial" w:eastAsia="Arial" w:hAnsi="Arial"/>
          <w:sz w:val="16"/>
          <w:szCs w:val="16"/>
          <w:color w:val="005BA5"/>
        </w:rPr>
        <w:t>(27)</w:t>
      </w:r>
      <w:r>
        <w:rPr>
          <w:rFonts w:ascii="Arial" w:cs="Arial" w:eastAsia="Arial" w:hAnsi="Arial"/>
          <w:sz w:val="16"/>
          <w:szCs w:val="16"/>
          <w:b w:val="1"/>
          <w:bCs w:val="1"/>
          <w:color w:val="1666AF"/>
        </w:rPr>
        <w:t xml:space="preserve"> </w:t>
      </w:r>
      <w:r>
        <w:rPr>
          <w:rFonts w:ascii="Arial" w:cs="Arial" w:eastAsia="Arial" w:hAnsi="Arial"/>
          <w:sz w:val="16"/>
          <w:szCs w:val="16"/>
          <w:color w:val="000000"/>
        </w:rPr>
        <w:t>regulatory changes, including limitations on rate increases and requirements to underwrite business and participate in loss</w:t>
      </w:r>
      <w:r>
        <w:rPr>
          <w:rFonts w:ascii="Arial" w:cs="Arial" w:eastAsia="Arial" w:hAnsi="Arial"/>
          <w:sz w:val="16"/>
          <w:szCs w:val="16"/>
          <w:b w:val="1"/>
          <w:bCs w:val="1"/>
          <w:color w:val="1666AF"/>
        </w:rPr>
        <w:t xml:space="preserve"> </w:t>
      </w:r>
      <w:r>
        <w:rPr>
          <w:rFonts w:ascii="Arial" w:cs="Arial" w:eastAsia="Arial" w:hAnsi="Arial"/>
          <w:sz w:val="16"/>
          <w:szCs w:val="16"/>
          <w:color w:val="000000"/>
        </w:rPr>
        <w:t xml:space="preserve">sharing arrangements; </w:t>
      </w:r>
      <w:r>
        <w:rPr>
          <w:rFonts w:ascii="Arial" w:cs="Arial" w:eastAsia="Arial" w:hAnsi="Arial"/>
          <w:sz w:val="16"/>
          <w:szCs w:val="16"/>
          <w:color w:val="005BA5"/>
        </w:rPr>
        <w:t>(28)</w:t>
      </w:r>
      <w:r>
        <w:rPr>
          <w:rFonts w:ascii="Arial" w:cs="Arial" w:eastAsia="Arial" w:hAnsi="Arial"/>
          <w:sz w:val="16"/>
          <w:szCs w:val="16"/>
          <w:color w:val="000000"/>
        </w:rPr>
        <w:t xml:space="preserve"> regulatory reforms and restrictive regulations; </w:t>
      </w:r>
      <w:r>
        <w:rPr>
          <w:rFonts w:ascii="Arial" w:cs="Arial" w:eastAsia="Arial" w:hAnsi="Arial"/>
          <w:sz w:val="16"/>
          <w:szCs w:val="16"/>
          <w:color w:val="005BA5"/>
        </w:rPr>
        <w:t>(29)</w:t>
      </w:r>
      <w:r>
        <w:rPr>
          <w:rFonts w:ascii="Arial" w:cs="Arial" w:eastAsia="Arial" w:hAnsi="Arial"/>
          <w:sz w:val="16"/>
          <w:szCs w:val="16"/>
          <w:color w:val="000000"/>
        </w:rPr>
        <w:t xml:space="preserve"> changes in tax laws; </w:t>
      </w:r>
      <w:r>
        <w:rPr>
          <w:rFonts w:ascii="Arial" w:cs="Arial" w:eastAsia="Arial" w:hAnsi="Arial"/>
          <w:sz w:val="16"/>
          <w:szCs w:val="16"/>
          <w:color w:val="005BA5"/>
        </w:rPr>
        <w:t>(30)</w:t>
      </w:r>
      <w:r>
        <w:rPr>
          <w:rFonts w:ascii="Arial" w:cs="Arial" w:eastAsia="Arial" w:hAnsi="Arial"/>
          <w:sz w:val="16"/>
          <w:szCs w:val="16"/>
          <w:color w:val="000000"/>
        </w:rPr>
        <w:t xml:space="preserve"> our ability to mitigate the capital impact associated with statutory reserving and capital requirements; </w:t>
      </w:r>
      <w:r>
        <w:rPr>
          <w:rFonts w:ascii="Arial" w:cs="Arial" w:eastAsia="Arial" w:hAnsi="Arial"/>
          <w:sz w:val="16"/>
          <w:szCs w:val="16"/>
          <w:color w:val="005BA5"/>
        </w:rPr>
        <w:t>(31)</w:t>
      </w:r>
      <w:r>
        <w:rPr>
          <w:rFonts w:ascii="Arial" w:cs="Arial" w:eastAsia="Arial" w:hAnsi="Arial"/>
          <w:sz w:val="16"/>
          <w:szCs w:val="16"/>
          <w:color w:val="000000"/>
        </w:rPr>
        <w:t xml:space="preserve"> changes in accounting standards; </w:t>
      </w:r>
      <w:r>
        <w:rPr>
          <w:rFonts w:ascii="Arial" w:cs="Arial" w:eastAsia="Arial" w:hAnsi="Arial"/>
          <w:sz w:val="16"/>
          <w:szCs w:val="16"/>
          <w:color w:val="005BA5"/>
        </w:rPr>
        <w:t>(32)</w:t>
      </w:r>
      <w:r>
        <w:rPr>
          <w:rFonts w:ascii="Arial" w:cs="Arial" w:eastAsia="Arial" w:hAnsi="Arial"/>
          <w:sz w:val="16"/>
          <w:szCs w:val="16"/>
          <w:color w:val="000000"/>
        </w:rPr>
        <w:t xml:space="preserve"> losses from legal and regulatory actions; </w:t>
      </w:r>
      <w:r>
        <w:rPr>
          <w:rFonts w:ascii="Arial" w:cs="Arial" w:eastAsia="Arial" w:hAnsi="Arial"/>
          <w:sz w:val="16"/>
          <w:szCs w:val="16"/>
          <w:color w:val="005BA5"/>
        </w:rPr>
        <w:t>(33)</w:t>
      </w:r>
      <w:r>
        <w:rPr>
          <w:rFonts w:ascii="Arial" w:cs="Arial" w:eastAsia="Arial" w:hAnsi="Arial"/>
          <w:sz w:val="16"/>
          <w:szCs w:val="16"/>
          <w:color w:val="000000"/>
        </w:rPr>
        <w:t xml:space="preserve"> our participation in indemnification programs, including state industry pools and facilities; </w:t>
      </w:r>
      <w:r>
        <w:rPr>
          <w:rFonts w:ascii="Arial" w:cs="Arial" w:eastAsia="Arial" w:hAnsi="Arial"/>
          <w:sz w:val="16"/>
          <w:szCs w:val="16"/>
          <w:color w:val="005BA5"/>
        </w:rPr>
        <w:t>(34)</w:t>
      </w:r>
      <w:r>
        <w:rPr>
          <w:rFonts w:ascii="Arial" w:cs="Arial" w:eastAsia="Arial" w:hAnsi="Arial"/>
          <w:sz w:val="16"/>
          <w:szCs w:val="16"/>
          <w:color w:val="000000"/>
        </w:rPr>
        <w:t xml:space="preserve"> impacts from the Covered Agreement, including changes in state insurance laws</w:t>
      </w:r>
    </w:p>
    <w:p>
      <w:pPr>
        <w:spacing w:after="0" w:line="70"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b w:val="1"/>
          <w:bCs w:val="1"/>
          <w:color w:val="1666AF"/>
        </w:rPr>
        <w:t xml:space="preserve">Strategic Risks </w:t>
      </w:r>
      <w:r>
        <w:rPr>
          <w:rFonts w:ascii="Arial" w:cs="Arial" w:eastAsia="Arial" w:hAnsi="Arial"/>
          <w:sz w:val="16"/>
          <w:szCs w:val="16"/>
          <w:color w:val="005BA5"/>
        </w:rPr>
        <w:t>(35)</w:t>
      </w:r>
      <w:r>
        <w:rPr>
          <w:rFonts w:ascii="Arial" w:cs="Arial" w:eastAsia="Arial" w:hAnsi="Arial"/>
          <w:sz w:val="16"/>
          <w:szCs w:val="16"/>
          <w:b w:val="1"/>
          <w:bCs w:val="1"/>
          <w:color w:val="1666AF"/>
        </w:rPr>
        <w:t xml:space="preserve"> </w:t>
      </w:r>
      <w:r>
        <w:rPr>
          <w:rFonts w:ascii="Arial" w:cs="Arial" w:eastAsia="Arial" w:hAnsi="Arial"/>
          <w:sz w:val="16"/>
          <w:szCs w:val="16"/>
          <w:color w:val="000000"/>
        </w:rPr>
        <w:t>competition in the insurance industry and impact of new or changing technologies;</w:t>
      </w:r>
      <w:r>
        <w:rPr>
          <w:rFonts w:ascii="Arial" w:cs="Arial" w:eastAsia="Arial" w:hAnsi="Arial"/>
          <w:sz w:val="16"/>
          <w:szCs w:val="16"/>
          <w:b w:val="1"/>
          <w:bCs w:val="1"/>
          <w:color w:val="1666AF"/>
        </w:rPr>
        <w:t xml:space="preserve"> </w:t>
      </w:r>
      <w:r>
        <w:rPr>
          <w:rFonts w:ascii="Arial" w:cs="Arial" w:eastAsia="Arial" w:hAnsi="Arial"/>
          <w:sz w:val="16"/>
          <w:szCs w:val="16"/>
          <w:color w:val="005BA5"/>
        </w:rPr>
        <w:t>(36)</w:t>
      </w:r>
      <w:r>
        <w:rPr>
          <w:rFonts w:ascii="Arial" w:cs="Arial" w:eastAsia="Arial" w:hAnsi="Arial"/>
          <w:sz w:val="16"/>
          <w:szCs w:val="16"/>
          <w:b w:val="1"/>
          <w:bCs w:val="1"/>
          <w:color w:val="1666AF"/>
        </w:rPr>
        <w:t xml:space="preserve"> </w:t>
      </w:r>
      <w:r>
        <w:rPr>
          <w:rFonts w:ascii="Arial" w:cs="Arial" w:eastAsia="Arial" w:hAnsi="Arial"/>
          <w:sz w:val="16"/>
          <w:szCs w:val="16"/>
          <w:color w:val="000000"/>
        </w:rPr>
        <w:t>market convergence and regulatory changes on</w:t>
      </w:r>
      <w:r>
        <w:rPr>
          <w:rFonts w:ascii="Arial" w:cs="Arial" w:eastAsia="Arial" w:hAnsi="Arial"/>
          <w:sz w:val="16"/>
          <w:szCs w:val="16"/>
          <w:b w:val="1"/>
          <w:bCs w:val="1"/>
          <w:color w:val="1666AF"/>
        </w:rPr>
        <w:t xml:space="preserve"> </w:t>
      </w:r>
      <w:r>
        <w:rPr>
          <w:rFonts w:ascii="Arial" w:cs="Arial" w:eastAsia="Arial" w:hAnsi="Arial"/>
          <w:sz w:val="16"/>
          <w:szCs w:val="16"/>
          <w:color w:val="000000"/>
        </w:rPr>
        <w:t xml:space="preserve">our risk segmentation and pricing; </w:t>
      </w:r>
      <w:r>
        <w:rPr>
          <w:rFonts w:ascii="Arial" w:cs="Arial" w:eastAsia="Arial" w:hAnsi="Arial"/>
          <w:sz w:val="16"/>
          <w:szCs w:val="16"/>
          <w:color w:val="005BA5"/>
        </w:rPr>
        <w:t>(37)</w:t>
      </w:r>
      <w:r>
        <w:rPr>
          <w:rFonts w:ascii="Arial" w:cs="Arial" w:eastAsia="Arial" w:hAnsi="Arial"/>
          <w:sz w:val="16"/>
          <w:szCs w:val="16"/>
          <w:color w:val="000000"/>
        </w:rPr>
        <w:t xml:space="preserve"> acquisitions and divestitures of businesses; and </w:t>
      </w:r>
      <w:r>
        <w:rPr>
          <w:rFonts w:ascii="Arial" w:cs="Arial" w:eastAsia="Arial" w:hAnsi="Arial"/>
          <w:sz w:val="16"/>
          <w:szCs w:val="16"/>
          <w:color w:val="005BA5"/>
        </w:rPr>
        <w:t>(38)</w:t>
      </w:r>
      <w:r>
        <w:rPr>
          <w:rFonts w:ascii="Arial" w:cs="Arial" w:eastAsia="Arial" w:hAnsi="Arial"/>
          <w:sz w:val="16"/>
          <w:szCs w:val="16"/>
          <w:color w:val="000000"/>
        </w:rPr>
        <w:t xml:space="preserve"> reducing our concentration in spread-based business and exiting certain distribution channels</w:t>
      </w:r>
    </w:p>
    <w:p>
      <w:pPr>
        <w:spacing w:after="0" w:line="84" w:lineRule="exact"/>
        <w:rPr>
          <w:sz w:val="20"/>
          <w:szCs w:val="20"/>
          <w:color w:val="auto"/>
        </w:rPr>
      </w:pPr>
    </w:p>
    <w:p>
      <w:pPr>
        <w:ind w:right="340" w:firstLine="243"/>
        <w:spacing w:after="0" w:line="253" w:lineRule="auto"/>
        <w:rPr>
          <w:sz w:val="20"/>
          <w:szCs w:val="20"/>
          <w:color w:val="auto"/>
        </w:rPr>
      </w:pPr>
      <w:r>
        <w:rPr>
          <w:rFonts w:ascii="Arial" w:cs="Arial" w:eastAsia="Arial" w:hAnsi="Arial"/>
          <w:sz w:val="16"/>
          <w:szCs w:val="16"/>
          <w:color w:val="auto"/>
        </w:rPr>
        <w:t>Additional information concerning these and other factors may be found in our filings with the Securities and Exchange Commission, including the “Risk Factors” section in our most recent annual report on Form 10-K. Forward- looking statements speak only as of the date on which they are made, and we assume no obligation to update or revise any forward-looking statement.</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Item 4. Controls and Procedures</w:t>
      </w:r>
    </w:p>
    <w:p>
      <w:pPr>
        <w:spacing w:after="0" w:line="121" w:lineRule="exact"/>
        <w:rPr>
          <w:sz w:val="20"/>
          <w:szCs w:val="20"/>
          <w:color w:val="auto"/>
        </w:rPr>
      </w:pPr>
    </w:p>
    <w:p>
      <w:pPr>
        <w:ind w:right="220" w:firstLine="324"/>
        <w:spacing w:after="0" w:line="252" w:lineRule="auto"/>
        <w:rPr>
          <w:sz w:val="20"/>
          <w:szCs w:val="20"/>
          <w:color w:val="auto"/>
        </w:rPr>
      </w:pPr>
      <w:r>
        <w:rPr>
          <w:rFonts w:ascii="Arial" w:cs="Arial" w:eastAsia="Arial" w:hAnsi="Arial"/>
          <w:sz w:val="16"/>
          <w:szCs w:val="16"/>
          <w:i w:val="1"/>
          <w:iCs w:val="1"/>
          <w:color w:val="1666AF"/>
        </w:rPr>
        <w:t xml:space="preserve">Evaluation of Disclosure Controls and Procedures. </w:t>
      </w:r>
      <w:r>
        <w:rPr>
          <w:rFonts w:ascii="Arial" w:cs="Arial" w:eastAsia="Arial" w:hAnsi="Arial"/>
          <w:sz w:val="16"/>
          <w:szCs w:val="16"/>
          <w:color w:val="000000"/>
        </w:rPr>
        <w:t>We maintain disclosure controls and procedures as defined in Rules 13a-15(e) under the Securities</w:t>
      </w:r>
      <w:r>
        <w:rPr>
          <w:rFonts w:ascii="Arial" w:cs="Arial" w:eastAsia="Arial" w:hAnsi="Arial"/>
          <w:sz w:val="16"/>
          <w:szCs w:val="16"/>
          <w:i w:val="1"/>
          <w:iCs w:val="1"/>
          <w:color w:val="1666AF"/>
        </w:rPr>
        <w:t xml:space="preserve"> </w:t>
      </w:r>
      <w:r>
        <w:rPr>
          <w:rFonts w:ascii="Arial" w:cs="Arial" w:eastAsia="Arial" w:hAnsi="Arial"/>
          <w:sz w:val="16"/>
          <w:szCs w:val="16"/>
          <w:color w:val="000000"/>
        </w:rPr>
        <w:t>Exchange Act of 1934. Under the supervision and with the participation of our management, including our principal executive officer and principal financial officer, we conducted an evaluation of the effectiveness of our disclosure controls and procedures as of the end of the period covered by this report. Based upon this evaluation, the principal executive officer and the principal financial officer concluded that our disclosure controls and procedures are effective in providing reasonable assurance that material information required to be disclosed in our reports filed with or submitted to the Securities and Exchange Commission under the Securities Exchange Act is made known to management, including the principal executive officer and the principal financial officer, as appropriate to allow timely decisions regarding required disclosure.</w:t>
      </w:r>
    </w:p>
    <w:p>
      <w:pPr>
        <w:spacing w:after="0" w:line="79" w:lineRule="exact"/>
        <w:rPr>
          <w:sz w:val="20"/>
          <w:szCs w:val="20"/>
          <w:color w:val="auto"/>
        </w:rPr>
      </w:pPr>
    </w:p>
    <w:p>
      <w:pPr>
        <w:ind w:right="140" w:firstLine="324"/>
        <w:spacing w:after="0" w:line="281" w:lineRule="auto"/>
        <w:rPr>
          <w:sz w:val="20"/>
          <w:szCs w:val="20"/>
          <w:color w:val="auto"/>
        </w:rPr>
      </w:pPr>
      <w:r>
        <w:rPr>
          <w:rFonts w:ascii="Arial" w:cs="Arial" w:eastAsia="Arial" w:hAnsi="Arial"/>
          <w:sz w:val="16"/>
          <w:szCs w:val="16"/>
          <w:i w:val="1"/>
          <w:iCs w:val="1"/>
          <w:color w:val="1666AF"/>
        </w:rPr>
        <w:t xml:space="preserve">Changes in Internal Control over Financial Reporting. </w:t>
      </w:r>
      <w:r>
        <w:rPr>
          <w:rFonts w:ascii="Arial" w:cs="Arial" w:eastAsia="Arial" w:hAnsi="Arial"/>
          <w:sz w:val="16"/>
          <w:szCs w:val="16"/>
          <w:color w:val="000000"/>
        </w:rPr>
        <w:t>During the fiscal quarter ended March 31, 2019, there have been no changes in our internal control</w:t>
      </w:r>
      <w:r>
        <w:rPr>
          <w:rFonts w:ascii="Arial" w:cs="Arial" w:eastAsia="Arial" w:hAnsi="Arial"/>
          <w:sz w:val="16"/>
          <w:szCs w:val="16"/>
          <w:i w:val="1"/>
          <w:iCs w:val="1"/>
          <w:color w:val="1666AF"/>
        </w:rPr>
        <w:t xml:space="preserve"> </w:t>
      </w:r>
      <w:r>
        <w:rPr>
          <w:rFonts w:ascii="Arial" w:cs="Arial" w:eastAsia="Arial" w:hAnsi="Arial"/>
          <w:sz w:val="16"/>
          <w:szCs w:val="16"/>
          <w:color w:val="000000"/>
        </w:rPr>
        <w:t>over financial reporting that have materially affected, or are reasonably likely to materially affect, our internal control over financial reporting.</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93</w:t>
      </w:r>
    </w:p>
    <w:p>
      <w:pPr>
        <w:sectPr>
          <w:pgSz w:w="11900" w:h="16838" w:orient="portrait"/>
          <w:cols w:equalWidth="0" w:num="1">
            <w:col w:w="11420"/>
          </w:cols>
          <w:pgMar w:left="240" w:top="355" w:right="239" w:bottom="1440" w:gutter="0" w:footer="0" w:header="0"/>
        </w:sectPr>
      </w:pPr>
    </w:p>
    <w:bookmarkStart w:id="97" w:name="page98"/>
    <w:bookmarkEnd w:id="97"/>
    <w:p>
      <w:pPr>
        <w:spacing w:after="0"/>
        <w:rPr>
          <w:sz w:val="20"/>
          <w:szCs w:val="20"/>
          <w:color w:val="auto"/>
        </w:rPr>
      </w:pPr>
      <w:r>
        <w:rPr>
          <w:rFonts w:ascii="Arial" w:cs="Arial" w:eastAsia="Arial" w:hAnsi="Arial"/>
          <w:sz w:val="16"/>
          <w:szCs w:val="16"/>
          <w:color w:val="005BA5"/>
        </w:rPr>
        <w:t xml:space="preserve">Part II. </w:t>
      </w:r>
      <w:r>
        <w:rPr>
          <w:rFonts w:ascii="Arial" w:cs="Arial" w:eastAsia="Arial" w:hAnsi="Arial"/>
          <w:sz w:val="16"/>
          <w:szCs w:val="16"/>
          <w:color w:val="000000"/>
        </w:rPr>
        <w:t>Other Information Even</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1666AF"/>
        </w:rPr>
        <w:t>Part II. Other Information</w:t>
      </w:r>
    </w:p>
    <w:p>
      <w:pPr>
        <w:sectPr>
          <w:pgSz w:w="11900" w:h="16838" w:orient="portrait"/>
          <w:cols w:equalWidth="0" w:num="1">
            <w:col w:w="11380"/>
          </w:cols>
          <w:pgMar w:left="240" w:top="141" w:right="279" w:bottom="1440" w:gutter="0" w:footer="0" w:header="0"/>
        </w:sectPr>
      </w:pP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Item 1. Legal Proceedings</w:t>
      </w:r>
    </w:p>
    <w:p>
      <w:pPr>
        <w:spacing w:after="0" w:line="15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Information required for Part II, Item 1 is incorporated by reference to the discussion under the heading “Regulation and compliance” and under the heading “Legal and regulatory proceedings and inquiries” in </w:t>
      </w:r>
      <w:r>
        <w:rPr>
          <w:rFonts w:ascii="Arial" w:cs="Arial" w:eastAsia="Arial" w:hAnsi="Arial"/>
          <w:sz w:val="19"/>
          <w:szCs w:val="19"/>
          <w:color w:val="auto"/>
        </w:rPr>
        <w:t>Note 11</w:t>
      </w:r>
      <w:r>
        <w:rPr>
          <w:rFonts w:ascii="Arial" w:cs="Arial" w:eastAsia="Arial" w:hAnsi="Arial"/>
          <w:sz w:val="16"/>
          <w:szCs w:val="16"/>
          <w:color w:val="auto"/>
        </w:rPr>
        <w:t xml:space="preserve"> of the condensed consolidated financial statements in Part I, Item 1 of this Form 10-Q.</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Item 1A. Risk Factors</w:t>
      </w:r>
    </w:p>
    <w:p>
      <w:pPr>
        <w:spacing w:after="0" w:line="137" w:lineRule="exact"/>
        <w:rPr>
          <w:sz w:val="20"/>
          <w:szCs w:val="20"/>
          <w:color w:val="auto"/>
        </w:rPr>
      </w:pPr>
    </w:p>
    <w:p>
      <w:pPr>
        <w:ind w:right="160" w:firstLine="324"/>
        <w:spacing w:after="0" w:line="253" w:lineRule="auto"/>
        <w:rPr>
          <w:sz w:val="20"/>
          <w:szCs w:val="20"/>
          <w:color w:val="auto"/>
        </w:rPr>
      </w:pPr>
      <w:r>
        <w:rPr>
          <w:rFonts w:ascii="Arial" w:cs="Arial" w:eastAsia="Arial" w:hAnsi="Arial"/>
          <w:sz w:val="16"/>
          <w:szCs w:val="16"/>
          <w:color w:val="auto"/>
        </w:rPr>
        <w:t>There have been no material changes in our risk factors from those disclosed in Part I, Item 1A in our annual report on Form 10-K for the year ended December 31, 2018.</w:t>
      </w:r>
    </w:p>
    <w:p>
      <w:pPr>
        <w:spacing w:after="0" w:line="657" w:lineRule="exact"/>
        <w:rPr>
          <w:sz w:val="20"/>
          <w:szCs w:val="20"/>
          <w:color w:val="auto"/>
        </w:rPr>
      </w:pPr>
    </w:p>
    <w:p>
      <w:pPr>
        <w:sectPr>
          <w:pgSz w:w="11900" w:h="16838" w:orient="portrait"/>
          <w:cols w:equalWidth="0" w:num="2">
            <w:col w:w="5460" w:space="480"/>
            <w:col w:w="5440"/>
          </w:cols>
          <w:pgMar w:left="240" w:top="141" w:right="279" w:bottom="1440" w:gutter="0" w:footer="0" w:header="0"/>
          <w:type w:val="continuous"/>
        </w:sectPr>
      </w:pPr>
    </w:p>
    <w:p>
      <w:pPr>
        <w:spacing w:after="0"/>
        <w:rPr>
          <w:sz w:val="20"/>
          <w:szCs w:val="20"/>
          <w:color w:val="auto"/>
        </w:rPr>
      </w:pPr>
      <w:r>
        <w:rPr>
          <w:rFonts w:ascii="Arial" w:cs="Arial" w:eastAsia="Arial" w:hAnsi="Arial"/>
          <w:sz w:val="20"/>
          <w:szCs w:val="20"/>
          <w:b w:val="1"/>
          <w:bCs w:val="1"/>
          <w:color w:val="1666AF"/>
        </w:rPr>
        <w:t>Item 2. Unregistered Sales of Equity Securities and Use of Proceeds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07517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5"/>
              </w:rPr>
              <w:t>Maximum number (or</w:t>
            </w:r>
          </w:p>
        </w:tc>
      </w:tr>
      <w:tr>
        <w:trPr>
          <w:trHeight w:val="203"/>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Total number of shares (or</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 dollar value) of</w:t>
            </w:r>
          </w:p>
        </w:tc>
      </w:tr>
      <w:tr>
        <w:trPr>
          <w:trHeight w:val="203"/>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shares</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Average price</w:t>
            </w:r>
          </w:p>
        </w:tc>
        <w:tc>
          <w:tcPr>
            <w:tcW w:w="2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units) purchased as part of</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0"/>
              </w:rPr>
              <w:t>shares (or units) that may yet be</w:t>
            </w:r>
          </w:p>
        </w:tc>
      </w:tr>
      <w:tr>
        <w:trPr>
          <w:trHeight w:val="203"/>
        </w:trPr>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(or units)</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paid per share</w:t>
            </w:r>
          </w:p>
        </w:tc>
        <w:tc>
          <w:tcPr>
            <w:tcW w:w="2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publicly announced plans or</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under the plans or</w:t>
            </w:r>
          </w:p>
        </w:tc>
      </w:tr>
      <w:tr>
        <w:trPr>
          <w:trHeight w:val="243"/>
        </w:trPr>
        <w:tc>
          <w:tcPr>
            <w:tcW w:w="3360" w:type="dxa"/>
            <w:vAlign w:val="bottom"/>
            <w:tcBorders>
              <w:bottom w:val="single" w:sz="8" w:color="005BA5"/>
            </w:tcBorders>
          </w:tcPr>
          <w:p>
            <w:pPr>
              <w:ind w:left="40"/>
              <w:spacing w:after="0"/>
              <w:rPr>
                <w:sz w:val="20"/>
                <w:szCs w:val="20"/>
                <w:color w:val="auto"/>
              </w:rPr>
            </w:pPr>
            <w:r>
              <w:rPr>
                <w:rFonts w:ascii="Arial" w:cs="Arial" w:eastAsia="Arial" w:hAnsi="Arial"/>
                <w:sz w:val="16"/>
                <w:szCs w:val="16"/>
                <w:b w:val="1"/>
                <w:bCs w:val="1"/>
                <w:color w:val="auto"/>
              </w:rPr>
              <w:t>Period</w:t>
            </w:r>
          </w:p>
        </w:tc>
        <w:tc>
          <w:tcPr>
            <w:tcW w:w="120" w:type="dxa"/>
            <w:vAlign w:val="bottom"/>
          </w:tcPr>
          <w:p>
            <w:pPr>
              <w:spacing w:after="0"/>
              <w:rPr>
                <w:sz w:val="21"/>
                <w:szCs w:val="21"/>
                <w:color w:val="auto"/>
              </w:rPr>
            </w:pPr>
          </w:p>
        </w:tc>
        <w:tc>
          <w:tcPr>
            <w:tcW w:w="1480" w:type="dxa"/>
            <w:vAlign w:val="bottom"/>
            <w:tcBorders>
              <w:bottom w:val="single" w:sz="8" w:color="005BA5"/>
            </w:tcBorders>
          </w:tcPr>
          <w:p>
            <w:pPr>
              <w:jc w:val="center"/>
              <w:spacing w:after="0" w:line="244" w:lineRule="exact"/>
              <w:rPr>
                <w:sz w:val="20"/>
                <w:szCs w:val="20"/>
                <w:color w:val="auto"/>
              </w:rPr>
            </w:pPr>
            <w:r>
              <w:rPr>
                <w:rFonts w:ascii="Arial" w:cs="Arial" w:eastAsia="Arial" w:hAnsi="Arial"/>
                <w:sz w:val="16"/>
                <w:szCs w:val="16"/>
                <w:b w:val="1"/>
                <w:bCs w:val="1"/>
                <w:color w:val="auto"/>
                <w:w w:val="85"/>
              </w:rPr>
              <w:t xml:space="preserve">purchased </w:t>
            </w:r>
            <w:r>
              <w:rPr>
                <w:rFonts w:ascii="Arial" w:cs="Arial" w:eastAsia="Arial" w:hAnsi="Arial"/>
                <w:sz w:val="27"/>
                <w:szCs w:val="27"/>
                <w:color w:val="005BA5"/>
                <w:w w:val="85"/>
                <w:vertAlign w:val="superscript"/>
              </w:rPr>
              <w:t>(1)</w:t>
            </w:r>
          </w:p>
        </w:tc>
        <w:tc>
          <w:tcPr>
            <w:tcW w:w="100" w:type="dxa"/>
            <w:vAlign w:val="bottom"/>
          </w:tcPr>
          <w:p>
            <w:pPr>
              <w:spacing w:after="0"/>
              <w:rPr>
                <w:sz w:val="21"/>
                <w:szCs w:val="21"/>
                <w:color w:val="auto"/>
              </w:rPr>
            </w:pPr>
          </w:p>
        </w:tc>
        <w:tc>
          <w:tcPr>
            <w:tcW w:w="160" w:type="dxa"/>
            <w:vAlign w:val="bottom"/>
            <w:tcBorders>
              <w:bottom w:val="single" w:sz="8" w:color="005BA5"/>
            </w:tcBorders>
          </w:tcPr>
          <w:p>
            <w:pPr>
              <w:spacing w:after="0"/>
              <w:rPr>
                <w:sz w:val="21"/>
                <w:szCs w:val="21"/>
                <w:color w:val="auto"/>
              </w:rPr>
            </w:pPr>
          </w:p>
        </w:tc>
        <w:tc>
          <w:tcPr>
            <w:tcW w:w="1280" w:type="dxa"/>
            <w:vAlign w:val="bottom"/>
            <w:tcBorders>
              <w:bottom w:val="single" w:sz="8" w:color="005BA5"/>
            </w:tcBorders>
          </w:tcPr>
          <w:p>
            <w:pPr>
              <w:jc w:val="center"/>
              <w:ind w:right="99"/>
              <w:spacing w:after="0"/>
              <w:rPr>
                <w:sz w:val="20"/>
                <w:szCs w:val="20"/>
                <w:color w:val="auto"/>
              </w:rPr>
            </w:pPr>
            <w:r>
              <w:rPr>
                <w:rFonts w:ascii="Arial" w:cs="Arial" w:eastAsia="Arial" w:hAnsi="Arial"/>
                <w:sz w:val="16"/>
                <w:szCs w:val="16"/>
                <w:b w:val="1"/>
                <w:bCs w:val="1"/>
                <w:color w:val="auto"/>
                <w:w w:val="95"/>
              </w:rPr>
              <w:t>(or unit)</w:t>
            </w:r>
          </w:p>
        </w:tc>
        <w:tc>
          <w:tcPr>
            <w:tcW w:w="100" w:type="dxa"/>
            <w:vAlign w:val="bottom"/>
          </w:tcPr>
          <w:p>
            <w:pPr>
              <w:spacing w:after="0"/>
              <w:rPr>
                <w:sz w:val="21"/>
                <w:szCs w:val="21"/>
                <w:color w:val="auto"/>
              </w:rPr>
            </w:pPr>
          </w:p>
        </w:tc>
        <w:tc>
          <w:tcPr>
            <w:tcW w:w="2100" w:type="dxa"/>
            <w:vAlign w:val="bottom"/>
            <w:tcBorders>
              <w:bottom w:val="single" w:sz="8" w:color="005BA5"/>
            </w:tcBorders>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120" w:type="dxa"/>
            <w:vAlign w:val="bottom"/>
          </w:tcPr>
          <w:p>
            <w:pPr>
              <w:spacing w:after="0"/>
              <w:rPr>
                <w:sz w:val="21"/>
                <w:szCs w:val="21"/>
                <w:color w:val="auto"/>
              </w:rPr>
            </w:pPr>
          </w:p>
        </w:tc>
        <w:tc>
          <w:tcPr>
            <w:tcW w:w="2320" w:type="dxa"/>
            <w:vAlign w:val="bottom"/>
            <w:tcBorders>
              <w:bottom w:val="single" w:sz="8" w:color="005BA5"/>
            </w:tcBorders>
          </w:tcPr>
          <w:p>
            <w:pPr>
              <w:jc w:val="center"/>
              <w:spacing w:after="0" w:line="244" w:lineRule="exact"/>
              <w:rPr>
                <w:sz w:val="20"/>
                <w:szCs w:val="20"/>
                <w:color w:val="auto"/>
              </w:rPr>
            </w:pPr>
            <w:r>
              <w:rPr>
                <w:rFonts w:ascii="Arial" w:cs="Arial" w:eastAsia="Arial" w:hAnsi="Arial"/>
                <w:sz w:val="16"/>
                <w:szCs w:val="16"/>
                <w:b w:val="1"/>
                <w:bCs w:val="1"/>
                <w:color w:val="auto"/>
                <w:w w:val="87"/>
              </w:rPr>
              <w:t xml:space="preserve">programs </w:t>
            </w:r>
            <w:r>
              <w:rPr>
                <w:rFonts w:ascii="Arial" w:cs="Arial" w:eastAsia="Arial" w:hAnsi="Arial"/>
                <w:sz w:val="27"/>
                <w:szCs w:val="27"/>
                <w:color w:val="005BA5"/>
                <w:w w:val="87"/>
                <w:vertAlign w:val="superscript"/>
              </w:rPr>
              <w:t>(2)</w:t>
            </w:r>
          </w:p>
        </w:tc>
      </w:tr>
      <w:tr>
        <w:trPr>
          <w:trHeight w:val="213"/>
        </w:trPr>
        <w:tc>
          <w:tcPr>
            <w:tcW w:w="3480" w:type="dxa"/>
            <w:vAlign w:val="bottom"/>
            <w:gridSpan w:val="2"/>
          </w:tcPr>
          <w:p>
            <w:pPr>
              <w:ind w:left="40"/>
              <w:spacing w:after="0"/>
              <w:rPr>
                <w:sz w:val="20"/>
                <w:szCs w:val="20"/>
                <w:color w:val="auto"/>
              </w:rPr>
            </w:pPr>
            <w:r>
              <w:rPr>
                <w:rFonts w:ascii="Arial" w:cs="Arial" w:eastAsia="Arial" w:hAnsi="Arial"/>
                <w:sz w:val="16"/>
                <w:szCs w:val="16"/>
                <w:color w:val="auto"/>
              </w:rPr>
              <w:t>January 1, 2019 -</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06"/>
        </w:trPr>
        <w:tc>
          <w:tcPr>
            <w:tcW w:w="3480" w:type="dxa"/>
            <w:vAlign w:val="bottom"/>
            <w:gridSpan w:val="2"/>
          </w:tcPr>
          <w:p>
            <w:pPr>
              <w:ind w:left="280"/>
              <w:spacing w:after="0"/>
              <w:rPr>
                <w:sz w:val="20"/>
                <w:szCs w:val="20"/>
                <w:color w:val="auto"/>
              </w:rPr>
            </w:pPr>
            <w:r>
              <w:rPr>
                <w:rFonts w:ascii="Arial" w:cs="Arial" w:eastAsia="Arial" w:hAnsi="Arial"/>
                <w:sz w:val="16"/>
                <w:szCs w:val="16"/>
                <w:color w:val="auto"/>
              </w:rPr>
              <w:t>January 31, 2019</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33"/>
        </w:trPr>
        <w:tc>
          <w:tcPr>
            <w:tcW w:w="33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Borders>
              <w:bottom w:val="single" w:sz="8" w:color="ACACAC"/>
            </w:tcBorders>
          </w:tcPr>
          <w:p>
            <w:pPr>
              <w:spacing w:after="0"/>
              <w:rPr>
                <w:sz w:val="2"/>
                <w:szCs w:val="2"/>
                <w:color w:val="auto"/>
              </w:rPr>
            </w:pPr>
          </w:p>
        </w:tc>
      </w:tr>
      <w:tr>
        <w:trPr>
          <w:trHeight w:val="231"/>
        </w:trPr>
        <w:tc>
          <w:tcPr>
            <w:tcW w:w="3480" w:type="dxa"/>
            <w:vAlign w:val="bottom"/>
            <w:gridSpan w:val="2"/>
          </w:tcPr>
          <w:p>
            <w:pPr>
              <w:ind w:left="420"/>
              <w:spacing w:after="0"/>
              <w:rPr>
                <w:sz w:val="20"/>
                <w:szCs w:val="20"/>
                <w:color w:val="auto"/>
              </w:rPr>
            </w:pPr>
            <w:r>
              <w:rPr>
                <w:rFonts w:ascii="Arial" w:cs="Arial" w:eastAsia="Arial" w:hAnsi="Arial"/>
                <w:sz w:val="16"/>
                <w:szCs w:val="16"/>
                <w:color w:val="auto"/>
              </w:rPr>
              <w:t>Open Market Purchases</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1,077,831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84.4994</w:t>
            </w:r>
          </w:p>
        </w:tc>
        <w:tc>
          <w:tcPr>
            <w:tcW w:w="100" w:type="dxa"/>
            <w:vAlign w:val="bottom"/>
          </w:tcPr>
          <w:p>
            <w:pPr>
              <w:spacing w:after="0"/>
              <w:rPr>
                <w:sz w:val="20"/>
                <w:szCs w:val="20"/>
                <w:color w:val="auto"/>
              </w:rPr>
            </w:pPr>
          </w:p>
        </w:tc>
        <w:tc>
          <w:tcPr>
            <w:tcW w:w="2220" w:type="dxa"/>
            <w:vAlign w:val="bottom"/>
            <w:gridSpan w:val="2"/>
          </w:tcPr>
          <w:p>
            <w:pPr>
              <w:ind w:left="1840"/>
              <w:spacing w:after="0"/>
              <w:rPr>
                <w:sz w:val="20"/>
                <w:szCs w:val="20"/>
                <w:color w:val="auto"/>
              </w:rPr>
            </w:pPr>
            <w:r>
              <w:rPr>
                <w:rFonts w:ascii="Arial" w:cs="Arial" w:eastAsia="Arial" w:hAnsi="Arial"/>
                <w:sz w:val="16"/>
                <w:szCs w:val="16"/>
                <w:color w:val="auto"/>
              </w:rPr>
              <w:t>—</w:t>
            </w:r>
          </w:p>
        </w:tc>
        <w:tc>
          <w:tcPr>
            <w:tcW w:w="2320" w:type="dxa"/>
            <w:vAlign w:val="bottom"/>
          </w:tcPr>
          <w:p>
            <w:pPr>
              <w:spacing w:after="0"/>
              <w:rPr>
                <w:sz w:val="20"/>
                <w:szCs w:val="20"/>
                <w:color w:val="auto"/>
              </w:rPr>
            </w:pPr>
          </w:p>
        </w:tc>
      </w:tr>
      <w:tr>
        <w:trPr>
          <w:trHeight w:val="33"/>
        </w:trPr>
        <w:tc>
          <w:tcPr>
            <w:tcW w:w="33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Borders>
              <w:bottom w:val="single" w:sz="8" w:color="ACACAC"/>
            </w:tcBorders>
          </w:tcPr>
          <w:p>
            <w:pPr>
              <w:spacing w:after="0"/>
              <w:rPr>
                <w:sz w:val="2"/>
                <w:szCs w:val="2"/>
                <w:color w:val="auto"/>
              </w:rPr>
            </w:pPr>
          </w:p>
        </w:tc>
      </w:tr>
      <w:tr>
        <w:trPr>
          <w:trHeight w:val="213"/>
        </w:trPr>
        <w:tc>
          <w:tcPr>
            <w:tcW w:w="3480" w:type="dxa"/>
            <w:vAlign w:val="bottom"/>
            <w:gridSpan w:val="2"/>
          </w:tcPr>
          <w:p>
            <w:pPr>
              <w:ind w:left="40"/>
              <w:spacing w:after="0"/>
              <w:rPr>
                <w:sz w:val="20"/>
                <w:szCs w:val="20"/>
                <w:color w:val="auto"/>
              </w:rPr>
            </w:pPr>
            <w:r>
              <w:rPr>
                <w:rFonts w:ascii="Arial" w:cs="Arial" w:eastAsia="Arial" w:hAnsi="Arial"/>
                <w:sz w:val="16"/>
                <w:szCs w:val="16"/>
                <w:color w:val="auto"/>
              </w:rPr>
              <w:t>February 1, 2019 -</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06"/>
        </w:trPr>
        <w:tc>
          <w:tcPr>
            <w:tcW w:w="3480" w:type="dxa"/>
            <w:vAlign w:val="bottom"/>
            <w:gridSpan w:val="2"/>
          </w:tcPr>
          <w:p>
            <w:pPr>
              <w:ind w:left="280"/>
              <w:spacing w:after="0"/>
              <w:rPr>
                <w:sz w:val="20"/>
                <w:szCs w:val="20"/>
                <w:color w:val="auto"/>
              </w:rPr>
            </w:pPr>
            <w:r>
              <w:rPr>
                <w:rFonts w:ascii="Arial" w:cs="Arial" w:eastAsia="Arial" w:hAnsi="Arial"/>
                <w:sz w:val="16"/>
                <w:szCs w:val="16"/>
                <w:color w:val="auto"/>
              </w:rPr>
              <w:t>February 28, 2019</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33"/>
        </w:trPr>
        <w:tc>
          <w:tcPr>
            <w:tcW w:w="33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Borders>
              <w:bottom w:val="single" w:sz="8" w:color="ACACAC"/>
            </w:tcBorders>
          </w:tcPr>
          <w:p>
            <w:pPr>
              <w:spacing w:after="0"/>
              <w:rPr>
                <w:sz w:val="2"/>
                <w:szCs w:val="2"/>
                <w:color w:val="auto"/>
              </w:rPr>
            </w:pPr>
          </w:p>
        </w:tc>
      </w:tr>
      <w:tr>
        <w:trPr>
          <w:trHeight w:val="231"/>
        </w:trPr>
        <w:tc>
          <w:tcPr>
            <w:tcW w:w="3480" w:type="dxa"/>
            <w:vAlign w:val="bottom"/>
            <w:gridSpan w:val="2"/>
          </w:tcPr>
          <w:p>
            <w:pPr>
              <w:ind w:left="420"/>
              <w:spacing w:after="0"/>
              <w:rPr>
                <w:sz w:val="20"/>
                <w:szCs w:val="20"/>
                <w:color w:val="auto"/>
              </w:rPr>
            </w:pPr>
            <w:r>
              <w:rPr>
                <w:rFonts w:ascii="Arial" w:cs="Arial" w:eastAsia="Arial" w:hAnsi="Arial"/>
                <w:sz w:val="16"/>
                <w:szCs w:val="16"/>
                <w:color w:val="auto"/>
              </w:rPr>
              <w:t>Open Market Purchases</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326,065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92.4600</w:t>
            </w:r>
          </w:p>
        </w:tc>
        <w:tc>
          <w:tcPr>
            <w:tcW w:w="100" w:type="dxa"/>
            <w:vAlign w:val="bottom"/>
          </w:tcPr>
          <w:p>
            <w:pPr>
              <w:spacing w:after="0"/>
              <w:rPr>
                <w:sz w:val="20"/>
                <w:szCs w:val="20"/>
                <w:color w:val="auto"/>
              </w:rPr>
            </w:pPr>
          </w:p>
        </w:tc>
        <w:tc>
          <w:tcPr>
            <w:tcW w:w="2220" w:type="dxa"/>
            <w:vAlign w:val="bottom"/>
            <w:gridSpan w:val="2"/>
          </w:tcPr>
          <w:p>
            <w:pPr>
              <w:ind w:left="1840"/>
              <w:spacing w:after="0"/>
              <w:rPr>
                <w:sz w:val="20"/>
                <w:szCs w:val="20"/>
                <w:color w:val="auto"/>
              </w:rPr>
            </w:pPr>
            <w:r>
              <w:rPr>
                <w:rFonts w:ascii="Arial" w:cs="Arial" w:eastAsia="Arial" w:hAnsi="Arial"/>
                <w:sz w:val="16"/>
                <w:szCs w:val="16"/>
                <w:color w:val="auto"/>
              </w:rPr>
              <w:t>—</w:t>
            </w:r>
          </w:p>
        </w:tc>
        <w:tc>
          <w:tcPr>
            <w:tcW w:w="2320" w:type="dxa"/>
            <w:vAlign w:val="bottom"/>
          </w:tcPr>
          <w:p>
            <w:pPr>
              <w:spacing w:after="0"/>
              <w:rPr>
                <w:sz w:val="20"/>
                <w:szCs w:val="20"/>
                <w:color w:val="auto"/>
              </w:rPr>
            </w:pPr>
          </w:p>
        </w:tc>
      </w:tr>
      <w:tr>
        <w:trPr>
          <w:trHeight w:val="33"/>
        </w:trPr>
        <w:tc>
          <w:tcPr>
            <w:tcW w:w="33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Borders>
              <w:bottom w:val="single" w:sz="8" w:color="ACACAC"/>
            </w:tcBorders>
          </w:tcPr>
          <w:p>
            <w:pPr>
              <w:spacing w:after="0"/>
              <w:rPr>
                <w:sz w:val="2"/>
                <w:szCs w:val="2"/>
                <w:color w:val="auto"/>
              </w:rPr>
            </w:pPr>
          </w:p>
        </w:tc>
      </w:tr>
      <w:tr>
        <w:trPr>
          <w:trHeight w:val="213"/>
        </w:trPr>
        <w:tc>
          <w:tcPr>
            <w:tcW w:w="3480" w:type="dxa"/>
            <w:vAlign w:val="bottom"/>
            <w:gridSpan w:val="2"/>
          </w:tcPr>
          <w:p>
            <w:pPr>
              <w:ind w:left="40"/>
              <w:spacing w:after="0"/>
              <w:rPr>
                <w:sz w:val="20"/>
                <w:szCs w:val="20"/>
                <w:color w:val="auto"/>
              </w:rPr>
            </w:pPr>
            <w:r>
              <w:rPr>
                <w:rFonts w:ascii="Arial" w:cs="Arial" w:eastAsia="Arial" w:hAnsi="Arial"/>
                <w:sz w:val="16"/>
                <w:szCs w:val="16"/>
                <w:color w:val="auto"/>
              </w:rPr>
              <w:t>March 1, 2019 -</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06"/>
        </w:trPr>
        <w:tc>
          <w:tcPr>
            <w:tcW w:w="3480" w:type="dxa"/>
            <w:vAlign w:val="bottom"/>
            <w:gridSpan w:val="2"/>
          </w:tcPr>
          <w:p>
            <w:pPr>
              <w:ind w:left="280"/>
              <w:spacing w:after="0"/>
              <w:rPr>
                <w:sz w:val="20"/>
                <w:szCs w:val="20"/>
                <w:color w:val="auto"/>
              </w:rPr>
            </w:pPr>
            <w:r>
              <w:rPr>
                <w:rFonts w:ascii="Arial" w:cs="Arial" w:eastAsia="Arial" w:hAnsi="Arial"/>
                <w:sz w:val="16"/>
                <w:szCs w:val="16"/>
                <w:color w:val="auto"/>
              </w:rPr>
              <w:t>March 31, 2019</w:t>
            </w: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33"/>
        </w:trPr>
        <w:tc>
          <w:tcPr>
            <w:tcW w:w="336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CACAC"/>
            </w:tcBorders>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Borders>
              <w:bottom w:val="single" w:sz="8" w:color="ACACAC"/>
            </w:tcBorders>
          </w:tcPr>
          <w:p>
            <w:pPr>
              <w:spacing w:after="0"/>
              <w:rPr>
                <w:sz w:val="2"/>
                <w:szCs w:val="2"/>
                <w:color w:val="auto"/>
              </w:rPr>
            </w:pPr>
          </w:p>
        </w:tc>
      </w:tr>
      <w:tr>
        <w:trPr>
          <w:trHeight w:val="231"/>
        </w:trPr>
        <w:tc>
          <w:tcPr>
            <w:tcW w:w="3480" w:type="dxa"/>
            <w:vAlign w:val="bottom"/>
            <w:gridSpan w:val="2"/>
          </w:tcPr>
          <w:p>
            <w:pPr>
              <w:ind w:left="420"/>
              <w:spacing w:after="0"/>
              <w:rPr>
                <w:sz w:val="20"/>
                <w:szCs w:val="20"/>
                <w:color w:val="auto"/>
              </w:rPr>
            </w:pPr>
            <w:r>
              <w:rPr>
                <w:rFonts w:ascii="Arial" w:cs="Arial" w:eastAsia="Arial" w:hAnsi="Arial"/>
                <w:sz w:val="16"/>
                <w:szCs w:val="16"/>
                <w:color w:val="auto"/>
              </w:rPr>
              <w:t>Open Market Purchases</w:t>
            </w:r>
          </w:p>
        </w:tc>
        <w:tc>
          <w:tcPr>
            <w:tcW w:w="148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92.5300</w:t>
            </w:r>
          </w:p>
        </w:tc>
        <w:tc>
          <w:tcPr>
            <w:tcW w:w="100" w:type="dxa"/>
            <w:vAlign w:val="bottom"/>
          </w:tcPr>
          <w:p>
            <w:pPr>
              <w:spacing w:after="0"/>
              <w:rPr>
                <w:sz w:val="20"/>
                <w:szCs w:val="20"/>
                <w:color w:val="auto"/>
              </w:rPr>
            </w:pPr>
          </w:p>
        </w:tc>
        <w:tc>
          <w:tcPr>
            <w:tcW w:w="2220" w:type="dxa"/>
            <w:vAlign w:val="bottom"/>
            <w:gridSpan w:val="2"/>
          </w:tcPr>
          <w:p>
            <w:pPr>
              <w:ind w:left="1840"/>
              <w:spacing w:after="0"/>
              <w:rPr>
                <w:sz w:val="20"/>
                <w:szCs w:val="20"/>
                <w:color w:val="auto"/>
              </w:rPr>
            </w:pPr>
            <w:r>
              <w:rPr>
                <w:rFonts w:ascii="Arial" w:cs="Arial" w:eastAsia="Arial" w:hAnsi="Arial"/>
                <w:sz w:val="16"/>
                <w:szCs w:val="16"/>
                <w:color w:val="auto"/>
              </w:rPr>
              <w:t>—</w:t>
            </w:r>
          </w:p>
        </w:tc>
        <w:tc>
          <w:tcPr>
            <w:tcW w:w="2320" w:type="dxa"/>
            <w:vAlign w:val="bottom"/>
          </w:tcPr>
          <w:p>
            <w:pPr>
              <w:spacing w:after="0"/>
              <w:rPr>
                <w:sz w:val="20"/>
                <w:szCs w:val="20"/>
                <w:color w:val="auto"/>
              </w:rPr>
            </w:pPr>
          </w:p>
        </w:tc>
      </w:tr>
      <w:tr>
        <w:trPr>
          <w:trHeight w:val="33"/>
        </w:trPr>
        <w:tc>
          <w:tcPr>
            <w:tcW w:w="336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005BA5"/>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CACAC"/>
            </w:tcBorders>
          </w:tcPr>
          <w:p>
            <w:pPr>
              <w:spacing w:after="0"/>
              <w:rPr>
                <w:sz w:val="2"/>
                <w:szCs w:val="2"/>
                <w:color w:val="auto"/>
              </w:rPr>
            </w:pPr>
          </w:p>
        </w:tc>
        <w:tc>
          <w:tcPr>
            <w:tcW w:w="1280" w:type="dxa"/>
            <w:vAlign w:val="bottom"/>
            <w:tcBorders>
              <w:bottom w:val="single" w:sz="8" w:color="ACACAC"/>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005BA5"/>
            </w:tcBorders>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Borders>
              <w:bottom w:val="single" w:sz="8" w:color="005BA5"/>
            </w:tcBorders>
          </w:tcPr>
          <w:p>
            <w:pPr>
              <w:spacing w:after="0"/>
              <w:rPr>
                <w:sz w:val="2"/>
                <w:szCs w:val="2"/>
                <w:color w:val="auto"/>
              </w:rPr>
            </w:pPr>
          </w:p>
        </w:tc>
      </w:tr>
      <w:tr>
        <w:trPr>
          <w:trHeight w:val="217"/>
        </w:trPr>
        <w:tc>
          <w:tcPr>
            <w:tcW w:w="34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480" w:type="dxa"/>
            <w:vAlign w:val="bottom"/>
          </w:tcPr>
          <w:p>
            <w:pPr>
              <w:jc w:val="right"/>
              <w:ind w:right="59"/>
              <w:spacing w:after="0"/>
              <w:rPr>
                <w:sz w:val="20"/>
                <w:szCs w:val="20"/>
                <w:color w:val="auto"/>
              </w:rPr>
            </w:pPr>
            <w:r>
              <w:rPr>
                <w:rFonts w:ascii="Arial" w:cs="Arial" w:eastAsia="Arial" w:hAnsi="Arial"/>
                <w:sz w:val="16"/>
                <w:szCs w:val="16"/>
                <w:b w:val="1"/>
                <w:bCs w:val="1"/>
                <w:color w:val="auto"/>
              </w:rPr>
              <w:t>1,403,899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b w:val="1"/>
                <w:bCs w:val="1"/>
                <w:color w:val="auto"/>
              </w:rPr>
              <w:t>86.3483</w:t>
            </w:r>
          </w:p>
        </w:tc>
        <w:tc>
          <w:tcPr>
            <w:tcW w:w="100" w:type="dxa"/>
            <w:vAlign w:val="bottom"/>
          </w:tcPr>
          <w:p>
            <w:pPr>
              <w:spacing w:after="0"/>
              <w:rPr>
                <w:sz w:val="18"/>
                <w:szCs w:val="18"/>
                <w:color w:val="auto"/>
              </w:rPr>
            </w:pPr>
          </w:p>
        </w:tc>
        <w:tc>
          <w:tcPr>
            <w:tcW w:w="2220" w:type="dxa"/>
            <w:vAlign w:val="bottom"/>
            <w:gridSpan w:val="2"/>
          </w:tcPr>
          <w:p>
            <w:pPr>
              <w:ind w:left="1840"/>
              <w:spacing w:after="0"/>
              <w:rPr>
                <w:sz w:val="20"/>
                <w:szCs w:val="20"/>
                <w:color w:val="auto"/>
              </w:rPr>
            </w:pPr>
            <w:r>
              <w:rPr>
                <w:rFonts w:ascii="Arial" w:cs="Arial" w:eastAsia="Arial" w:hAnsi="Arial"/>
                <w:sz w:val="16"/>
                <w:szCs w:val="16"/>
                <w:b w:val="1"/>
                <w:bCs w:val="1"/>
                <w:color w:val="auto"/>
              </w:rPr>
              <w:t>—</w:t>
            </w:r>
          </w:p>
        </w:tc>
        <w:tc>
          <w:tcPr>
            <w:tcW w:w="2320" w:type="dxa"/>
            <w:vAlign w:val="bottom"/>
          </w:tcPr>
          <w:p>
            <w:pPr>
              <w:ind w:left="1460"/>
              <w:spacing w:after="0"/>
              <w:rPr>
                <w:sz w:val="20"/>
                <w:szCs w:val="20"/>
                <w:color w:val="auto"/>
              </w:rPr>
            </w:pPr>
            <w:r>
              <w:rPr>
                <w:rFonts w:ascii="Arial" w:cs="Arial" w:eastAsia="Arial" w:hAnsi="Arial"/>
                <w:sz w:val="16"/>
                <w:szCs w:val="16"/>
                <w:b w:val="1"/>
                <w:bCs w:val="1"/>
                <w:color w:val="auto"/>
                <w:w w:val="91"/>
              </w:rPr>
              <w:t>$2.07 billion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07517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85" w:lineRule="exact"/>
        <w:rPr>
          <w:sz w:val="20"/>
          <w:szCs w:val="20"/>
          <w:color w:val="auto"/>
        </w:rPr>
      </w:pPr>
    </w:p>
    <w:p>
      <w:pPr>
        <w:ind w:left="280" w:hanging="191"/>
        <w:spacing w:after="0" w:line="203" w:lineRule="auto"/>
        <w:tabs>
          <w:tab w:leader="none" w:pos="280" w:val="left"/>
        </w:tabs>
        <w:numPr>
          <w:ilvl w:val="0"/>
          <w:numId w:val="90"/>
        </w:numPr>
        <w:rPr>
          <w:rFonts w:ascii="Arial" w:cs="Arial" w:eastAsia="Arial" w:hAnsi="Arial"/>
          <w:sz w:val="23"/>
          <w:szCs w:val="23"/>
          <w:color w:val="005BA5"/>
          <w:vertAlign w:val="superscript"/>
        </w:rPr>
      </w:pPr>
      <w:r>
        <w:rPr>
          <w:rFonts w:ascii="Arial" w:cs="Arial" w:eastAsia="Arial" w:hAnsi="Arial"/>
          <w:sz w:val="14"/>
          <w:szCs w:val="14"/>
          <w:color w:val="auto"/>
        </w:rPr>
        <w:t>In accordance with the terms of its equity compensation plans, Allstate acquired the following shares in connection with the vesting of restricted stock units and performance stock awards and the exercise of stock options held by employees and/or directors. The shares were acquired in satisfaction of withholding taxes due upon exercise or vesting and in payment of the exercise price of the options.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January: 322</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February: 326,065</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March: 3</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Allstate 401(k) Saving Plan acquired the following shares in connection with Allstate’s contribution to the plan based on its matching obligations.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January: 1,077,509</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February: none</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March: none</w:t>
      </w:r>
    </w:p>
    <w:p>
      <w:pPr>
        <w:spacing w:after="0" w:line="17" w:lineRule="exact"/>
        <w:rPr>
          <w:sz w:val="20"/>
          <w:szCs w:val="20"/>
          <w:color w:val="auto"/>
        </w:rPr>
      </w:pPr>
    </w:p>
    <w:p>
      <w:pPr>
        <w:ind w:left="280" w:hanging="191"/>
        <w:spacing w:after="0"/>
        <w:tabs>
          <w:tab w:leader="none" w:pos="280" w:val="left"/>
        </w:tabs>
        <w:numPr>
          <w:ilvl w:val="0"/>
          <w:numId w:val="91"/>
        </w:numPr>
        <w:rPr>
          <w:rFonts w:ascii="Arial" w:cs="Arial" w:eastAsia="Arial" w:hAnsi="Arial"/>
          <w:sz w:val="23"/>
          <w:szCs w:val="23"/>
          <w:color w:val="005BA5"/>
          <w:vertAlign w:val="superscript"/>
        </w:rPr>
      </w:pPr>
      <w:r>
        <w:rPr>
          <w:rFonts w:ascii="Arial" w:cs="Arial" w:eastAsia="Arial" w:hAnsi="Arial"/>
          <w:sz w:val="14"/>
          <w:szCs w:val="14"/>
          <w:color w:val="auto"/>
        </w:rPr>
        <w:t>On October 31, 2018, we announced the approval of a common share repurchase program for $3 billion, which is expected to be completed by April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94 </w:t>
      </w:r>
      <w:r>
        <w:rPr>
          <w:sz w:val="1"/>
          <w:szCs w:val="1"/>
          <w:color w:val="auto"/>
        </w:rPr>
        <w:drawing>
          <wp:inline distT="0" distB="0" distL="0" distR="0">
            <wp:extent cx="111760" cy="11176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1380"/>
          </w:cols>
          <w:pgMar w:left="240" w:top="141" w:right="279" w:bottom="1440" w:gutter="0" w:footer="0" w:header="0"/>
          <w:type w:val="continuous"/>
        </w:sectPr>
      </w:pPr>
    </w:p>
    <w:bookmarkStart w:id="98" w:name="page99"/>
    <w:bookmarkEnd w:id="98"/>
    <w:p>
      <w:pPr>
        <w:ind w:left="9640"/>
        <w:spacing w:after="0"/>
        <w:rPr>
          <w:sz w:val="20"/>
          <w:szCs w:val="20"/>
          <w:color w:val="auto"/>
        </w:rPr>
      </w:pPr>
      <w:r>
        <w:rPr>
          <w:rFonts w:ascii="Arial" w:cs="Arial" w:eastAsia="Arial" w:hAnsi="Arial"/>
          <w:sz w:val="16"/>
          <w:szCs w:val="16"/>
          <w:color w:val="auto"/>
        </w:rPr>
        <w:t xml:space="preserve">Other Information </w:t>
      </w:r>
      <w:r>
        <w:rPr>
          <w:rFonts w:ascii="Arial" w:cs="Arial" w:eastAsia="Arial" w:hAnsi="Arial"/>
          <w:sz w:val="16"/>
          <w:szCs w:val="16"/>
          <w:color w:val="005BA5"/>
        </w:rPr>
        <w:t>Part II.</w:t>
      </w: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b w:val="1"/>
          <w:bCs w:val="1"/>
          <w:color w:val="1666AF"/>
        </w:rPr>
        <w:t>Item 6. Exhibits</w:t>
      </w:r>
    </w:p>
    <w:p>
      <w:pPr>
        <w:spacing w:after="0" w:line="1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i w:val="1"/>
          <w:iCs w:val="1"/>
          <w:color w:val="1666AF"/>
        </w:rPr>
        <w:t>(a)</w:t>
      </w:r>
      <w:r>
        <w:rPr>
          <w:sz w:val="20"/>
          <w:szCs w:val="20"/>
          <w:color w:val="auto"/>
        </w:rPr>
        <w:tab/>
      </w:r>
      <w:r>
        <w:rPr>
          <w:rFonts w:ascii="Arial" w:cs="Arial" w:eastAsia="Arial" w:hAnsi="Arial"/>
          <w:sz w:val="15"/>
          <w:szCs w:val="15"/>
          <w:i w:val="1"/>
          <w:iCs w:val="1"/>
          <w:color w:val="1666AF"/>
        </w:rPr>
        <w:t>Exhibits</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is a list of exhibits filed as part of this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16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6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Incorporated by Reference</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6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w w:val="93"/>
              </w:rPr>
              <w:t>Filed or</w:t>
            </w:r>
          </w:p>
        </w:tc>
        <w:tc>
          <w:tcPr>
            <w:tcW w:w="0" w:type="dxa"/>
            <w:vAlign w:val="bottom"/>
          </w:tcPr>
          <w:p>
            <w:pPr>
              <w:spacing w:after="0"/>
              <w:rPr>
                <w:sz w:val="1"/>
                <w:szCs w:val="1"/>
                <w:color w:val="auto"/>
              </w:rPr>
            </w:pPr>
          </w:p>
        </w:tc>
      </w:tr>
      <w:tr>
        <w:trPr>
          <w:trHeight w:val="196"/>
        </w:trPr>
        <w:tc>
          <w:tcPr>
            <w:tcW w:w="16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4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File</w:t>
            </w:r>
          </w:p>
        </w:tc>
        <w:tc>
          <w:tcPr>
            <w:tcW w:w="1120" w:type="dxa"/>
            <w:vAlign w:val="bottom"/>
          </w:tcPr>
          <w:p>
            <w:pPr>
              <w:spacing w:after="0"/>
              <w:rPr>
                <w:sz w:val="17"/>
                <w:szCs w:val="17"/>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Filing</w:t>
            </w:r>
          </w:p>
        </w:tc>
        <w:tc>
          <w:tcPr>
            <w:tcW w:w="92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Furnished</w:t>
            </w:r>
          </w:p>
        </w:tc>
        <w:tc>
          <w:tcPr>
            <w:tcW w:w="0" w:type="dxa"/>
            <w:vAlign w:val="bottom"/>
          </w:tcPr>
          <w:p>
            <w:pPr>
              <w:spacing w:after="0"/>
              <w:rPr>
                <w:sz w:val="1"/>
                <w:szCs w:val="1"/>
                <w:color w:val="auto"/>
              </w:rPr>
            </w:pPr>
          </w:p>
        </w:tc>
      </w:tr>
      <w:tr>
        <w:trPr>
          <w:trHeight w:val="210"/>
        </w:trPr>
        <w:tc>
          <w:tcPr>
            <w:tcW w:w="164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4400" w:type="dxa"/>
            <w:vAlign w:val="bottom"/>
          </w:tcPr>
          <w:p>
            <w:pPr>
              <w:ind w:left="1040"/>
              <w:spacing w:after="0"/>
              <w:rPr>
                <w:sz w:val="20"/>
                <w:szCs w:val="20"/>
                <w:color w:val="auto"/>
              </w:rPr>
            </w:pPr>
            <w:r>
              <w:rPr>
                <w:rFonts w:ascii="Arial" w:cs="Arial" w:eastAsia="Arial" w:hAnsi="Arial"/>
                <w:sz w:val="16"/>
                <w:szCs w:val="16"/>
                <w:b w:val="1"/>
                <w:bCs w:val="1"/>
                <w:color w:val="auto"/>
              </w:rPr>
              <w:t>Exhibit Description</w:t>
            </w:r>
          </w:p>
        </w:tc>
        <w:tc>
          <w:tcPr>
            <w:tcW w:w="920" w:type="dxa"/>
            <w:vAlign w:val="bottom"/>
          </w:tcPr>
          <w:p>
            <w:pPr>
              <w:ind w:left="320"/>
              <w:spacing w:after="0"/>
              <w:rPr>
                <w:sz w:val="20"/>
                <w:szCs w:val="20"/>
                <w:color w:val="auto"/>
              </w:rPr>
            </w:pPr>
            <w:r>
              <w:rPr>
                <w:rFonts w:ascii="Arial" w:cs="Arial" w:eastAsia="Arial" w:hAnsi="Arial"/>
                <w:sz w:val="16"/>
                <w:szCs w:val="16"/>
                <w:b w:val="1"/>
                <w:bCs w:val="1"/>
                <w:color w:val="auto"/>
              </w:rPr>
              <w:t>Form</w:t>
            </w:r>
          </w:p>
        </w:tc>
        <w:tc>
          <w:tcPr>
            <w:tcW w:w="114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Number</w:t>
            </w:r>
          </w:p>
        </w:tc>
        <w:tc>
          <w:tcPr>
            <w:tcW w:w="112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920" w:type="dxa"/>
            <w:vAlign w:val="bottom"/>
          </w:tcPr>
          <w:p>
            <w:pPr>
              <w:jc w:val="center"/>
              <w:ind w:left="159"/>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1" w:lineRule="exact"/>
        <w:rPr>
          <w:sz w:val="20"/>
          <w:szCs w:val="20"/>
          <w:color w:val="auto"/>
        </w:rPr>
      </w:pPr>
    </w:p>
    <w:p>
      <w:pPr>
        <w:ind w:left="840" w:right="5380" w:hanging="805"/>
        <w:spacing w:after="0" w:line="278" w:lineRule="auto"/>
        <w:tabs>
          <w:tab w:leader="none" w:pos="8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Allstate Corporation hereby agrees to furnish to the Commission, upon request, the instruments defining the rights of holders of each issue of long-term debt of it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 w:type="dxa"/>
            <w:vAlign w:val="bottom"/>
          </w:tcPr>
          <w:p>
            <w:pPr>
              <w:ind w:left="40"/>
              <w:spacing w:after="0"/>
              <w:rPr>
                <w:sz w:val="20"/>
                <w:szCs w:val="20"/>
                <w:color w:val="auto"/>
              </w:rPr>
            </w:pPr>
            <w:r>
              <w:rPr>
                <w:rFonts w:ascii="Arial" w:cs="Arial" w:eastAsia="Arial" w:hAnsi="Arial"/>
                <w:sz w:val="16"/>
                <w:szCs w:val="16"/>
                <w:color w:val="auto"/>
              </w:rPr>
              <w:t>10.1</w:t>
            </w:r>
          </w:p>
        </w:tc>
        <w:tc>
          <w:tcPr>
            <w:tcW w:w="7620" w:type="dxa"/>
            <w:vAlign w:val="bottom"/>
            <w:gridSpan w:val="8"/>
          </w:tcPr>
          <w:p>
            <w:pPr>
              <w:spacing w:after="0"/>
              <w:rPr>
                <w:sz w:val="20"/>
                <w:szCs w:val="20"/>
                <w:color w:val="auto"/>
              </w:rPr>
            </w:pPr>
            <w:r>
              <w:rPr>
                <w:rFonts w:ascii="Arial" w:cs="Arial" w:eastAsia="Arial" w:hAnsi="Arial"/>
                <w:sz w:val="16"/>
                <w:szCs w:val="16"/>
                <w:color w:val="0000FF"/>
              </w:rPr>
              <w:t>Offer Letter dated February 16, 2016, to Glenn T. Shapiro</w:t>
            </w:r>
          </w:p>
        </w:tc>
        <w:tc>
          <w:tcPr>
            <w:tcW w:w="2960" w:type="dxa"/>
            <w:vAlign w:val="bottom"/>
          </w:tcPr>
          <w:p>
            <w:pPr>
              <w:ind w:left="2340"/>
              <w:spacing w:after="0"/>
              <w:rPr>
                <w:sz w:val="20"/>
                <w:szCs w:val="20"/>
                <w:color w:val="auto"/>
              </w:rPr>
            </w:pPr>
            <w:r>
              <w:rPr>
                <w:rFonts w:ascii="Arial" w:cs="Arial" w:eastAsia="Arial" w:hAnsi="Arial"/>
                <w:sz w:val="16"/>
                <w:szCs w:val="16"/>
                <w:color w:val="auto"/>
              </w:rPr>
              <w:t>X</w:t>
            </w:r>
          </w:p>
        </w:tc>
      </w:tr>
      <w:tr>
        <w:trPr>
          <w:trHeight w:val="61"/>
        </w:trPr>
        <w:tc>
          <w:tcPr>
            <w:tcW w:w="840" w:type="dxa"/>
            <w:vAlign w:val="bottom"/>
            <w:tcBorders>
              <w:bottom w:val="single" w:sz="8" w:color="ACACAC"/>
            </w:tcBorders>
          </w:tcPr>
          <w:p>
            <w:pPr>
              <w:spacing w:after="0"/>
              <w:rPr>
                <w:sz w:val="5"/>
                <w:szCs w:val="5"/>
                <w:color w:val="auto"/>
              </w:rPr>
            </w:pPr>
          </w:p>
        </w:tc>
        <w:tc>
          <w:tcPr>
            <w:tcW w:w="1780" w:type="dxa"/>
            <w:vAlign w:val="bottom"/>
            <w:tcBorders>
              <w:top w:val="single" w:sz="8" w:color="0000FF"/>
              <w:bottom w:val="single" w:sz="8" w:color="ACACAC"/>
            </w:tcBorders>
          </w:tcPr>
          <w:p>
            <w:pPr>
              <w:spacing w:after="0"/>
              <w:rPr>
                <w:sz w:val="5"/>
                <w:szCs w:val="5"/>
                <w:color w:val="auto"/>
              </w:rPr>
            </w:pPr>
          </w:p>
        </w:tc>
        <w:tc>
          <w:tcPr>
            <w:tcW w:w="1540" w:type="dxa"/>
            <w:vAlign w:val="bottom"/>
            <w:tcBorders>
              <w:top w:val="single" w:sz="8" w:color="0000FF"/>
              <w:bottom w:val="single" w:sz="8" w:color="ACACAC"/>
            </w:tcBorders>
          </w:tcPr>
          <w:p>
            <w:pPr>
              <w:spacing w:after="0"/>
              <w:rPr>
                <w:sz w:val="5"/>
                <w:szCs w:val="5"/>
                <w:color w:val="auto"/>
              </w:rPr>
            </w:pPr>
          </w:p>
        </w:tc>
        <w:tc>
          <w:tcPr>
            <w:tcW w:w="440" w:type="dxa"/>
            <w:vAlign w:val="bottom"/>
            <w:tcBorders>
              <w:top w:val="single" w:sz="8" w:color="0000FF"/>
              <w:bottom w:val="single" w:sz="8" w:color="ACACAC"/>
            </w:tcBorders>
          </w:tcPr>
          <w:p>
            <w:pPr>
              <w:spacing w:after="0"/>
              <w:rPr>
                <w:sz w:val="5"/>
                <w:szCs w:val="5"/>
                <w:color w:val="auto"/>
              </w:rPr>
            </w:pPr>
          </w:p>
        </w:tc>
        <w:tc>
          <w:tcPr>
            <w:tcW w:w="40" w:type="dxa"/>
            <w:vAlign w:val="bottom"/>
            <w:tcBorders>
              <w:bottom w:val="single" w:sz="8" w:color="ACACAC"/>
            </w:tcBorders>
          </w:tcPr>
          <w:p>
            <w:pPr>
              <w:spacing w:after="0"/>
              <w:rPr>
                <w:sz w:val="5"/>
                <w:szCs w:val="5"/>
                <w:color w:val="auto"/>
              </w:rPr>
            </w:pPr>
          </w:p>
        </w:tc>
        <w:tc>
          <w:tcPr>
            <w:tcW w:w="40" w:type="dxa"/>
            <w:vAlign w:val="bottom"/>
            <w:tcBorders>
              <w:bottom w:val="single" w:sz="8" w:color="ACACAC"/>
            </w:tcBorders>
          </w:tcPr>
          <w:p>
            <w:pPr>
              <w:spacing w:after="0"/>
              <w:rPr>
                <w:sz w:val="5"/>
                <w:szCs w:val="5"/>
                <w:color w:val="auto"/>
              </w:rPr>
            </w:pPr>
          </w:p>
        </w:tc>
        <w:tc>
          <w:tcPr>
            <w:tcW w:w="400" w:type="dxa"/>
            <w:vAlign w:val="bottom"/>
            <w:tcBorders>
              <w:bottom w:val="single" w:sz="8" w:color="ACACAC"/>
            </w:tcBorders>
          </w:tcPr>
          <w:p>
            <w:pPr>
              <w:spacing w:after="0"/>
              <w:rPr>
                <w:sz w:val="5"/>
                <w:szCs w:val="5"/>
                <w:color w:val="auto"/>
              </w:rPr>
            </w:pPr>
          </w:p>
        </w:tc>
        <w:tc>
          <w:tcPr>
            <w:tcW w:w="1040" w:type="dxa"/>
            <w:vAlign w:val="bottom"/>
            <w:tcBorders>
              <w:bottom w:val="single" w:sz="8" w:color="ACACAC"/>
            </w:tcBorders>
          </w:tcPr>
          <w:p>
            <w:pPr>
              <w:spacing w:after="0"/>
              <w:rPr>
                <w:sz w:val="5"/>
                <w:szCs w:val="5"/>
                <w:color w:val="auto"/>
              </w:rPr>
            </w:pPr>
          </w:p>
        </w:tc>
        <w:tc>
          <w:tcPr>
            <w:tcW w:w="2340" w:type="dxa"/>
            <w:vAlign w:val="bottom"/>
            <w:tcBorders>
              <w:bottom w:val="single" w:sz="8" w:color="ACACAC"/>
            </w:tcBorders>
          </w:tcPr>
          <w:p>
            <w:pPr>
              <w:spacing w:after="0"/>
              <w:rPr>
                <w:sz w:val="5"/>
                <w:szCs w:val="5"/>
                <w:color w:val="auto"/>
              </w:rPr>
            </w:pPr>
          </w:p>
        </w:tc>
        <w:tc>
          <w:tcPr>
            <w:tcW w:w="2960" w:type="dxa"/>
            <w:vAlign w:val="bottom"/>
            <w:tcBorders>
              <w:bottom w:val="single" w:sz="8" w:color="ACACAC"/>
            </w:tcBorders>
          </w:tcPr>
          <w:p>
            <w:pPr>
              <w:spacing w:after="0"/>
              <w:rPr>
                <w:sz w:val="5"/>
                <w:szCs w:val="5"/>
                <w:color w:val="auto"/>
              </w:rPr>
            </w:pPr>
          </w:p>
        </w:tc>
      </w:tr>
      <w:tr>
        <w:trPr>
          <w:trHeight w:val="183"/>
        </w:trPr>
        <w:tc>
          <w:tcPr>
            <w:tcW w:w="840" w:type="dxa"/>
            <w:vAlign w:val="bottom"/>
          </w:tcPr>
          <w:p>
            <w:pPr>
              <w:ind w:left="40"/>
              <w:spacing w:after="0" w:line="183" w:lineRule="exact"/>
              <w:rPr>
                <w:sz w:val="20"/>
                <w:szCs w:val="20"/>
                <w:color w:val="auto"/>
              </w:rPr>
            </w:pPr>
            <w:r>
              <w:rPr>
                <w:rFonts w:ascii="Arial" w:cs="Arial" w:eastAsia="Arial" w:hAnsi="Arial"/>
                <w:sz w:val="16"/>
                <w:szCs w:val="16"/>
                <w:color w:val="auto"/>
              </w:rPr>
              <w:t>15</w:t>
            </w:r>
          </w:p>
        </w:tc>
        <w:tc>
          <w:tcPr>
            <w:tcW w:w="7620" w:type="dxa"/>
            <w:vAlign w:val="bottom"/>
            <w:gridSpan w:val="8"/>
          </w:tcPr>
          <w:p>
            <w:pPr>
              <w:spacing w:after="0" w:line="183" w:lineRule="exact"/>
              <w:rPr>
                <w:sz w:val="20"/>
                <w:szCs w:val="20"/>
                <w:color w:val="auto"/>
              </w:rPr>
            </w:pPr>
            <w:r>
              <w:rPr>
                <w:rFonts w:ascii="Arial" w:cs="Arial" w:eastAsia="Arial" w:hAnsi="Arial"/>
                <w:sz w:val="16"/>
                <w:szCs w:val="16"/>
                <w:color w:val="0000FF"/>
              </w:rPr>
              <w:t>Acknowledgment of awareness from Deloitte &amp; Touche LLP, dated May 1, 2019,</w:t>
            </w:r>
          </w:p>
        </w:tc>
        <w:tc>
          <w:tcPr>
            <w:tcW w:w="2960" w:type="dxa"/>
            <w:vAlign w:val="bottom"/>
          </w:tcPr>
          <w:p>
            <w:pPr>
              <w:ind w:left="2340"/>
              <w:spacing w:after="0" w:line="183" w:lineRule="exact"/>
              <w:rPr>
                <w:sz w:val="20"/>
                <w:szCs w:val="20"/>
                <w:color w:val="auto"/>
              </w:rPr>
            </w:pPr>
            <w:r>
              <w:rPr>
                <w:rFonts w:ascii="Arial" w:cs="Arial" w:eastAsia="Arial" w:hAnsi="Arial"/>
                <w:sz w:val="16"/>
                <w:szCs w:val="16"/>
                <w:color w:val="auto"/>
              </w:rPr>
              <w:t>X</w:t>
            </w:r>
          </w:p>
        </w:tc>
      </w:tr>
      <w:tr>
        <w:trPr>
          <w:trHeight w:val="183"/>
        </w:trPr>
        <w:tc>
          <w:tcPr>
            <w:tcW w:w="840" w:type="dxa"/>
            <w:vAlign w:val="bottom"/>
          </w:tcPr>
          <w:p>
            <w:pPr>
              <w:spacing w:after="0"/>
              <w:rPr>
                <w:sz w:val="15"/>
                <w:szCs w:val="15"/>
                <w:color w:val="auto"/>
              </w:rPr>
            </w:pPr>
          </w:p>
        </w:tc>
        <w:tc>
          <w:tcPr>
            <w:tcW w:w="5280" w:type="dxa"/>
            <w:vAlign w:val="bottom"/>
            <w:tcBorders>
              <w:top w:val="single" w:sz="8" w:color="0000FF"/>
            </w:tcBorders>
            <w:gridSpan w:val="7"/>
          </w:tcPr>
          <w:p>
            <w:pPr>
              <w:spacing w:after="0" w:line="183" w:lineRule="exact"/>
              <w:rPr>
                <w:sz w:val="20"/>
                <w:szCs w:val="20"/>
                <w:color w:val="auto"/>
              </w:rPr>
            </w:pPr>
            <w:r>
              <w:rPr>
                <w:rFonts w:ascii="Arial" w:cs="Arial" w:eastAsia="Arial" w:hAnsi="Arial"/>
                <w:sz w:val="16"/>
                <w:szCs w:val="16"/>
                <w:color w:val="0000FF"/>
              </w:rPr>
              <w:t>concerning unaudited interim financial information</w:t>
            </w:r>
          </w:p>
        </w:tc>
        <w:tc>
          <w:tcPr>
            <w:tcW w:w="234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48"/>
        </w:trPr>
        <w:tc>
          <w:tcPr>
            <w:tcW w:w="840" w:type="dxa"/>
            <w:vAlign w:val="bottom"/>
            <w:tcBorders>
              <w:bottom w:val="single" w:sz="8" w:color="ACACAC"/>
            </w:tcBorders>
          </w:tcPr>
          <w:p>
            <w:pPr>
              <w:spacing w:after="0"/>
              <w:rPr>
                <w:sz w:val="4"/>
                <w:szCs w:val="4"/>
                <w:color w:val="auto"/>
              </w:rPr>
            </w:pPr>
          </w:p>
        </w:tc>
        <w:tc>
          <w:tcPr>
            <w:tcW w:w="1780" w:type="dxa"/>
            <w:vAlign w:val="bottom"/>
            <w:tcBorders>
              <w:top w:val="single" w:sz="8" w:color="0000FF"/>
              <w:bottom w:val="single" w:sz="8" w:color="ACACAC"/>
            </w:tcBorders>
          </w:tcPr>
          <w:p>
            <w:pPr>
              <w:spacing w:after="0"/>
              <w:rPr>
                <w:sz w:val="4"/>
                <w:szCs w:val="4"/>
                <w:color w:val="auto"/>
              </w:rPr>
            </w:pPr>
          </w:p>
        </w:tc>
        <w:tc>
          <w:tcPr>
            <w:tcW w:w="1540" w:type="dxa"/>
            <w:vAlign w:val="bottom"/>
            <w:tcBorders>
              <w:top w:val="single" w:sz="8" w:color="0000FF"/>
              <w:bottom w:val="single" w:sz="8" w:color="ACACAC"/>
            </w:tcBorders>
          </w:tcPr>
          <w:p>
            <w:pPr>
              <w:spacing w:after="0"/>
              <w:rPr>
                <w:sz w:val="4"/>
                <w:szCs w:val="4"/>
                <w:color w:val="auto"/>
              </w:rPr>
            </w:pPr>
          </w:p>
        </w:tc>
        <w:tc>
          <w:tcPr>
            <w:tcW w:w="440" w:type="dxa"/>
            <w:vAlign w:val="bottom"/>
            <w:tcBorders>
              <w:bottom w:val="single" w:sz="8" w:color="ACACAC"/>
            </w:tcBorders>
          </w:tcPr>
          <w:p>
            <w:pPr>
              <w:spacing w:after="0"/>
              <w:rPr>
                <w:sz w:val="4"/>
                <w:szCs w:val="4"/>
                <w:color w:val="auto"/>
              </w:rPr>
            </w:pPr>
          </w:p>
        </w:tc>
        <w:tc>
          <w:tcPr>
            <w:tcW w:w="40" w:type="dxa"/>
            <w:vAlign w:val="bottom"/>
            <w:tcBorders>
              <w:bottom w:val="single" w:sz="8" w:color="ACACAC"/>
            </w:tcBorders>
          </w:tcPr>
          <w:p>
            <w:pPr>
              <w:spacing w:after="0"/>
              <w:rPr>
                <w:sz w:val="4"/>
                <w:szCs w:val="4"/>
                <w:color w:val="auto"/>
              </w:rPr>
            </w:pPr>
          </w:p>
        </w:tc>
        <w:tc>
          <w:tcPr>
            <w:tcW w:w="40" w:type="dxa"/>
            <w:vAlign w:val="bottom"/>
            <w:tcBorders>
              <w:bottom w:val="single" w:sz="8" w:color="ACACAC"/>
            </w:tcBorders>
          </w:tcPr>
          <w:p>
            <w:pPr>
              <w:spacing w:after="0"/>
              <w:rPr>
                <w:sz w:val="4"/>
                <w:szCs w:val="4"/>
                <w:color w:val="auto"/>
              </w:rPr>
            </w:pPr>
          </w:p>
        </w:tc>
        <w:tc>
          <w:tcPr>
            <w:tcW w:w="400" w:type="dxa"/>
            <w:vAlign w:val="bottom"/>
            <w:tcBorders>
              <w:bottom w:val="single" w:sz="8" w:color="ACACAC"/>
            </w:tcBorders>
          </w:tcPr>
          <w:p>
            <w:pPr>
              <w:spacing w:after="0"/>
              <w:rPr>
                <w:sz w:val="4"/>
                <w:szCs w:val="4"/>
                <w:color w:val="auto"/>
              </w:rPr>
            </w:pPr>
          </w:p>
        </w:tc>
        <w:tc>
          <w:tcPr>
            <w:tcW w:w="1040" w:type="dxa"/>
            <w:vAlign w:val="bottom"/>
            <w:tcBorders>
              <w:bottom w:val="single" w:sz="8" w:color="ACACAC"/>
            </w:tcBorders>
          </w:tcPr>
          <w:p>
            <w:pPr>
              <w:spacing w:after="0"/>
              <w:rPr>
                <w:sz w:val="4"/>
                <w:szCs w:val="4"/>
                <w:color w:val="auto"/>
              </w:rPr>
            </w:pPr>
          </w:p>
        </w:tc>
        <w:tc>
          <w:tcPr>
            <w:tcW w:w="2340" w:type="dxa"/>
            <w:vAlign w:val="bottom"/>
            <w:tcBorders>
              <w:bottom w:val="single" w:sz="8" w:color="ACACAC"/>
            </w:tcBorders>
          </w:tcPr>
          <w:p>
            <w:pPr>
              <w:spacing w:after="0"/>
              <w:rPr>
                <w:sz w:val="4"/>
                <w:szCs w:val="4"/>
                <w:color w:val="auto"/>
              </w:rPr>
            </w:pPr>
          </w:p>
        </w:tc>
        <w:tc>
          <w:tcPr>
            <w:tcW w:w="2960" w:type="dxa"/>
            <w:vAlign w:val="bottom"/>
            <w:tcBorders>
              <w:bottom w:val="single" w:sz="8" w:color="ACACAC"/>
            </w:tcBorders>
          </w:tcPr>
          <w:p>
            <w:pPr>
              <w:spacing w:after="0"/>
              <w:rPr>
                <w:sz w:val="4"/>
                <w:szCs w:val="4"/>
                <w:color w:val="auto"/>
              </w:rPr>
            </w:pPr>
          </w:p>
        </w:tc>
      </w:tr>
      <w:tr>
        <w:trPr>
          <w:trHeight w:val="183"/>
        </w:trPr>
        <w:tc>
          <w:tcPr>
            <w:tcW w:w="840" w:type="dxa"/>
            <w:vAlign w:val="bottom"/>
          </w:tcPr>
          <w:p>
            <w:pPr>
              <w:ind w:left="40"/>
              <w:spacing w:after="0" w:line="183" w:lineRule="exact"/>
              <w:rPr>
                <w:sz w:val="20"/>
                <w:szCs w:val="20"/>
                <w:color w:val="auto"/>
              </w:rPr>
            </w:pPr>
            <w:r>
              <w:rPr>
                <w:rFonts w:ascii="Arial" w:cs="Arial" w:eastAsia="Arial" w:hAnsi="Arial"/>
                <w:sz w:val="16"/>
                <w:szCs w:val="16"/>
                <w:color w:val="auto"/>
              </w:rPr>
              <w:t>18</w:t>
            </w:r>
          </w:p>
        </w:tc>
        <w:tc>
          <w:tcPr>
            <w:tcW w:w="7620" w:type="dxa"/>
            <w:vAlign w:val="bottom"/>
            <w:gridSpan w:val="8"/>
          </w:tcPr>
          <w:p>
            <w:pPr>
              <w:spacing w:after="0" w:line="183" w:lineRule="exact"/>
              <w:rPr>
                <w:sz w:val="20"/>
                <w:szCs w:val="20"/>
                <w:color w:val="auto"/>
              </w:rPr>
            </w:pPr>
            <w:r>
              <w:rPr>
                <w:rFonts w:ascii="Arial" w:cs="Arial" w:eastAsia="Arial" w:hAnsi="Arial"/>
                <w:sz w:val="16"/>
                <w:szCs w:val="16"/>
                <w:color w:val="0000FF"/>
              </w:rPr>
              <w:t>Preferability Letter of Deloitte &amp; Touche LLP dated May 1, 2019</w:t>
            </w:r>
          </w:p>
        </w:tc>
        <w:tc>
          <w:tcPr>
            <w:tcW w:w="2960" w:type="dxa"/>
            <w:vAlign w:val="bottom"/>
          </w:tcPr>
          <w:p>
            <w:pPr>
              <w:ind w:left="2340"/>
              <w:spacing w:after="0" w:line="183" w:lineRule="exact"/>
              <w:rPr>
                <w:sz w:val="20"/>
                <w:szCs w:val="20"/>
                <w:color w:val="auto"/>
              </w:rPr>
            </w:pPr>
            <w:r>
              <w:rPr>
                <w:rFonts w:ascii="Arial" w:cs="Arial" w:eastAsia="Arial" w:hAnsi="Arial"/>
                <w:sz w:val="16"/>
                <w:szCs w:val="16"/>
                <w:color w:val="auto"/>
              </w:rPr>
              <w:t>X</w:t>
            </w:r>
          </w:p>
        </w:tc>
      </w:tr>
      <w:tr>
        <w:trPr>
          <w:trHeight w:val="61"/>
        </w:trPr>
        <w:tc>
          <w:tcPr>
            <w:tcW w:w="840" w:type="dxa"/>
            <w:vAlign w:val="bottom"/>
            <w:tcBorders>
              <w:bottom w:val="single" w:sz="8" w:color="ACACAC"/>
            </w:tcBorders>
          </w:tcPr>
          <w:p>
            <w:pPr>
              <w:spacing w:after="0"/>
              <w:rPr>
                <w:sz w:val="5"/>
                <w:szCs w:val="5"/>
                <w:color w:val="auto"/>
              </w:rPr>
            </w:pPr>
          </w:p>
        </w:tc>
        <w:tc>
          <w:tcPr>
            <w:tcW w:w="1780" w:type="dxa"/>
            <w:vAlign w:val="bottom"/>
            <w:tcBorders>
              <w:top w:val="single" w:sz="8" w:color="0000FF"/>
              <w:bottom w:val="single" w:sz="8" w:color="ACACAC"/>
            </w:tcBorders>
          </w:tcPr>
          <w:p>
            <w:pPr>
              <w:spacing w:after="0"/>
              <w:rPr>
                <w:sz w:val="5"/>
                <w:szCs w:val="5"/>
                <w:color w:val="auto"/>
              </w:rPr>
            </w:pPr>
          </w:p>
        </w:tc>
        <w:tc>
          <w:tcPr>
            <w:tcW w:w="1540" w:type="dxa"/>
            <w:vAlign w:val="bottom"/>
            <w:tcBorders>
              <w:top w:val="single" w:sz="8" w:color="0000FF"/>
              <w:bottom w:val="single" w:sz="8" w:color="ACACAC"/>
            </w:tcBorders>
          </w:tcPr>
          <w:p>
            <w:pPr>
              <w:spacing w:after="0"/>
              <w:rPr>
                <w:sz w:val="5"/>
                <w:szCs w:val="5"/>
                <w:color w:val="auto"/>
              </w:rPr>
            </w:pPr>
          </w:p>
        </w:tc>
        <w:tc>
          <w:tcPr>
            <w:tcW w:w="440" w:type="dxa"/>
            <w:vAlign w:val="bottom"/>
            <w:tcBorders>
              <w:top w:val="single" w:sz="8" w:color="0000FF"/>
              <w:bottom w:val="single" w:sz="8" w:color="ACACAC"/>
            </w:tcBorders>
          </w:tcPr>
          <w:p>
            <w:pPr>
              <w:spacing w:after="0"/>
              <w:rPr>
                <w:sz w:val="5"/>
                <w:szCs w:val="5"/>
                <w:color w:val="auto"/>
              </w:rPr>
            </w:pPr>
          </w:p>
        </w:tc>
        <w:tc>
          <w:tcPr>
            <w:tcW w:w="40" w:type="dxa"/>
            <w:vAlign w:val="bottom"/>
            <w:tcBorders>
              <w:top w:val="single" w:sz="8" w:color="0000FF"/>
              <w:bottom w:val="single" w:sz="8" w:color="ACACAC"/>
            </w:tcBorders>
          </w:tcPr>
          <w:p>
            <w:pPr>
              <w:spacing w:after="0"/>
              <w:rPr>
                <w:sz w:val="5"/>
                <w:szCs w:val="5"/>
                <w:color w:val="auto"/>
              </w:rPr>
            </w:pPr>
          </w:p>
        </w:tc>
        <w:tc>
          <w:tcPr>
            <w:tcW w:w="40" w:type="dxa"/>
            <w:vAlign w:val="bottom"/>
            <w:tcBorders>
              <w:top w:val="single" w:sz="8" w:color="0000FF"/>
              <w:bottom w:val="single" w:sz="8" w:color="ACACAC"/>
            </w:tcBorders>
          </w:tcPr>
          <w:p>
            <w:pPr>
              <w:spacing w:after="0"/>
              <w:rPr>
                <w:sz w:val="5"/>
                <w:szCs w:val="5"/>
                <w:color w:val="auto"/>
              </w:rPr>
            </w:pPr>
          </w:p>
        </w:tc>
        <w:tc>
          <w:tcPr>
            <w:tcW w:w="400" w:type="dxa"/>
            <w:vAlign w:val="bottom"/>
            <w:tcBorders>
              <w:top w:val="single" w:sz="8" w:color="0000FF"/>
              <w:bottom w:val="single" w:sz="8" w:color="ACACAC"/>
            </w:tcBorders>
          </w:tcPr>
          <w:p>
            <w:pPr>
              <w:spacing w:after="0"/>
              <w:rPr>
                <w:sz w:val="5"/>
                <w:szCs w:val="5"/>
                <w:color w:val="auto"/>
              </w:rPr>
            </w:pPr>
          </w:p>
        </w:tc>
        <w:tc>
          <w:tcPr>
            <w:tcW w:w="1040" w:type="dxa"/>
            <w:vAlign w:val="bottom"/>
            <w:tcBorders>
              <w:bottom w:val="single" w:sz="8" w:color="ACACAC"/>
            </w:tcBorders>
          </w:tcPr>
          <w:p>
            <w:pPr>
              <w:spacing w:after="0"/>
              <w:rPr>
                <w:sz w:val="5"/>
                <w:szCs w:val="5"/>
                <w:color w:val="auto"/>
              </w:rPr>
            </w:pPr>
          </w:p>
        </w:tc>
        <w:tc>
          <w:tcPr>
            <w:tcW w:w="2340" w:type="dxa"/>
            <w:vAlign w:val="bottom"/>
            <w:tcBorders>
              <w:bottom w:val="single" w:sz="8" w:color="ACACAC"/>
            </w:tcBorders>
          </w:tcPr>
          <w:p>
            <w:pPr>
              <w:spacing w:after="0"/>
              <w:rPr>
                <w:sz w:val="5"/>
                <w:szCs w:val="5"/>
                <w:color w:val="auto"/>
              </w:rPr>
            </w:pPr>
          </w:p>
        </w:tc>
        <w:tc>
          <w:tcPr>
            <w:tcW w:w="2960" w:type="dxa"/>
            <w:vAlign w:val="bottom"/>
            <w:tcBorders>
              <w:bottom w:val="single" w:sz="8" w:color="ACACAC"/>
            </w:tcBorders>
          </w:tcPr>
          <w:p>
            <w:pPr>
              <w:spacing w:after="0"/>
              <w:rPr>
                <w:sz w:val="5"/>
                <w:szCs w:val="5"/>
                <w:color w:val="auto"/>
              </w:rPr>
            </w:pPr>
          </w:p>
        </w:tc>
      </w:tr>
      <w:tr>
        <w:trPr>
          <w:trHeight w:val="183"/>
        </w:trPr>
        <w:tc>
          <w:tcPr>
            <w:tcW w:w="840" w:type="dxa"/>
            <w:vAlign w:val="bottom"/>
          </w:tcPr>
          <w:p>
            <w:pPr>
              <w:ind w:left="40"/>
              <w:spacing w:after="0" w:line="183" w:lineRule="exact"/>
              <w:rPr>
                <w:sz w:val="20"/>
                <w:szCs w:val="20"/>
                <w:color w:val="auto"/>
              </w:rPr>
            </w:pPr>
            <w:r>
              <w:rPr>
                <w:rFonts w:ascii="Arial" w:cs="Arial" w:eastAsia="Arial" w:hAnsi="Arial"/>
                <w:sz w:val="16"/>
                <w:szCs w:val="16"/>
                <w:color w:val="auto"/>
              </w:rPr>
              <w:t>31(i)</w:t>
            </w:r>
          </w:p>
        </w:tc>
        <w:tc>
          <w:tcPr>
            <w:tcW w:w="7620" w:type="dxa"/>
            <w:vAlign w:val="bottom"/>
            <w:gridSpan w:val="8"/>
          </w:tcPr>
          <w:p>
            <w:pPr>
              <w:spacing w:after="0" w:line="183" w:lineRule="exact"/>
              <w:rPr>
                <w:sz w:val="20"/>
                <w:szCs w:val="20"/>
                <w:color w:val="auto"/>
              </w:rPr>
            </w:pPr>
            <w:r>
              <w:rPr>
                <w:rFonts w:ascii="Arial" w:cs="Arial" w:eastAsia="Arial" w:hAnsi="Arial"/>
                <w:sz w:val="16"/>
                <w:szCs w:val="16"/>
                <w:color w:val="0000FF"/>
              </w:rPr>
              <w:t>Rule 13a-14(a) Certification of Principal Executive Officer</w:t>
            </w:r>
          </w:p>
        </w:tc>
        <w:tc>
          <w:tcPr>
            <w:tcW w:w="2960" w:type="dxa"/>
            <w:vAlign w:val="bottom"/>
          </w:tcPr>
          <w:p>
            <w:pPr>
              <w:ind w:left="2340"/>
              <w:spacing w:after="0" w:line="183" w:lineRule="exact"/>
              <w:rPr>
                <w:sz w:val="20"/>
                <w:szCs w:val="20"/>
                <w:color w:val="auto"/>
              </w:rPr>
            </w:pPr>
            <w:r>
              <w:rPr>
                <w:rFonts w:ascii="Arial" w:cs="Arial" w:eastAsia="Arial" w:hAnsi="Arial"/>
                <w:sz w:val="16"/>
                <w:szCs w:val="16"/>
                <w:color w:val="auto"/>
              </w:rPr>
              <w:t>X</w:t>
            </w:r>
          </w:p>
        </w:tc>
      </w:tr>
      <w:tr>
        <w:trPr>
          <w:trHeight w:val="48"/>
        </w:trPr>
        <w:tc>
          <w:tcPr>
            <w:tcW w:w="840" w:type="dxa"/>
            <w:vAlign w:val="bottom"/>
            <w:tcBorders>
              <w:bottom w:val="single" w:sz="8" w:color="ACACAC"/>
            </w:tcBorders>
          </w:tcPr>
          <w:p>
            <w:pPr>
              <w:spacing w:after="0"/>
              <w:rPr>
                <w:sz w:val="4"/>
                <w:szCs w:val="4"/>
                <w:color w:val="auto"/>
              </w:rPr>
            </w:pPr>
          </w:p>
        </w:tc>
        <w:tc>
          <w:tcPr>
            <w:tcW w:w="1780" w:type="dxa"/>
            <w:vAlign w:val="bottom"/>
            <w:tcBorders>
              <w:top w:val="single" w:sz="8" w:color="0000FF"/>
              <w:bottom w:val="single" w:sz="8" w:color="ACACAC"/>
            </w:tcBorders>
          </w:tcPr>
          <w:p>
            <w:pPr>
              <w:spacing w:after="0"/>
              <w:rPr>
                <w:sz w:val="4"/>
                <w:szCs w:val="4"/>
                <w:color w:val="auto"/>
              </w:rPr>
            </w:pPr>
          </w:p>
        </w:tc>
        <w:tc>
          <w:tcPr>
            <w:tcW w:w="1540" w:type="dxa"/>
            <w:vAlign w:val="bottom"/>
            <w:tcBorders>
              <w:top w:val="single" w:sz="8" w:color="0000FF"/>
              <w:bottom w:val="single" w:sz="8" w:color="ACACAC"/>
            </w:tcBorders>
          </w:tcPr>
          <w:p>
            <w:pPr>
              <w:spacing w:after="0"/>
              <w:rPr>
                <w:sz w:val="4"/>
                <w:szCs w:val="4"/>
                <w:color w:val="auto"/>
              </w:rPr>
            </w:pPr>
          </w:p>
        </w:tc>
        <w:tc>
          <w:tcPr>
            <w:tcW w:w="440" w:type="dxa"/>
            <w:vAlign w:val="bottom"/>
            <w:tcBorders>
              <w:top w:val="single" w:sz="8" w:color="0000FF"/>
              <w:bottom w:val="single" w:sz="8" w:color="ACACAC"/>
            </w:tcBorders>
          </w:tcPr>
          <w:p>
            <w:pPr>
              <w:spacing w:after="0"/>
              <w:rPr>
                <w:sz w:val="4"/>
                <w:szCs w:val="4"/>
                <w:color w:val="auto"/>
              </w:rPr>
            </w:pPr>
          </w:p>
        </w:tc>
        <w:tc>
          <w:tcPr>
            <w:tcW w:w="40" w:type="dxa"/>
            <w:vAlign w:val="bottom"/>
            <w:tcBorders>
              <w:top w:val="single" w:sz="8" w:color="0000FF"/>
              <w:bottom w:val="single" w:sz="8" w:color="ACACAC"/>
            </w:tcBorders>
          </w:tcPr>
          <w:p>
            <w:pPr>
              <w:spacing w:after="0"/>
              <w:rPr>
                <w:sz w:val="4"/>
                <w:szCs w:val="4"/>
                <w:color w:val="auto"/>
              </w:rPr>
            </w:pPr>
          </w:p>
        </w:tc>
        <w:tc>
          <w:tcPr>
            <w:tcW w:w="40" w:type="dxa"/>
            <w:vAlign w:val="bottom"/>
            <w:tcBorders>
              <w:top w:val="single" w:sz="8" w:color="0000FF"/>
              <w:bottom w:val="single" w:sz="8" w:color="ACACAC"/>
            </w:tcBorders>
          </w:tcPr>
          <w:p>
            <w:pPr>
              <w:spacing w:after="0"/>
              <w:rPr>
                <w:sz w:val="4"/>
                <w:szCs w:val="4"/>
                <w:color w:val="auto"/>
              </w:rPr>
            </w:pPr>
          </w:p>
        </w:tc>
        <w:tc>
          <w:tcPr>
            <w:tcW w:w="400" w:type="dxa"/>
            <w:vAlign w:val="bottom"/>
            <w:tcBorders>
              <w:bottom w:val="single" w:sz="8" w:color="ACACAC"/>
            </w:tcBorders>
          </w:tcPr>
          <w:p>
            <w:pPr>
              <w:spacing w:after="0"/>
              <w:rPr>
                <w:sz w:val="4"/>
                <w:szCs w:val="4"/>
                <w:color w:val="auto"/>
              </w:rPr>
            </w:pPr>
          </w:p>
        </w:tc>
        <w:tc>
          <w:tcPr>
            <w:tcW w:w="1040" w:type="dxa"/>
            <w:vAlign w:val="bottom"/>
            <w:tcBorders>
              <w:bottom w:val="single" w:sz="8" w:color="ACACAC"/>
            </w:tcBorders>
          </w:tcPr>
          <w:p>
            <w:pPr>
              <w:spacing w:after="0"/>
              <w:rPr>
                <w:sz w:val="4"/>
                <w:szCs w:val="4"/>
                <w:color w:val="auto"/>
              </w:rPr>
            </w:pPr>
          </w:p>
        </w:tc>
        <w:tc>
          <w:tcPr>
            <w:tcW w:w="2340" w:type="dxa"/>
            <w:vAlign w:val="bottom"/>
            <w:tcBorders>
              <w:bottom w:val="single" w:sz="8" w:color="ACACAC"/>
            </w:tcBorders>
          </w:tcPr>
          <w:p>
            <w:pPr>
              <w:spacing w:after="0"/>
              <w:rPr>
                <w:sz w:val="4"/>
                <w:szCs w:val="4"/>
                <w:color w:val="auto"/>
              </w:rPr>
            </w:pPr>
          </w:p>
        </w:tc>
        <w:tc>
          <w:tcPr>
            <w:tcW w:w="2960" w:type="dxa"/>
            <w:vAlign w:val="bottom"/>
            <w:tcBorders>
              <w:bottom w:val="single" w:sz="8" w:color="ACACAC"/>
            </w:tcBorders>
          </w:tcPr>
          <w:p>
            <w:pPr>
              <w:spacing w:after="0"/>
              <w:rPr>
                <w:sz w:val="4"/>
                <w:szCs w:val="4"/>
                <w:color w:val="auto"/>
              </w:rPr>
            </w:pPr>
          </w:p>
        </w:tc>
      </w:tr>
      <w:tr>
        <w:trPr>
          <w:trHeight w:val="183"/>
        </w:trPr>
        <w:tc>
          <w:tcPr>
            <w:tcW w:w="840" w:type="dxa"/>
            <w:vAlign w:val="bottom"/>
          </w:tcPr>
          <w:p>
            <w:pPr>
              <w:ind w:left="40"/>
              <w:spacing w:after="0" w:line="183" w:lineRule="exact"/>
              <w:rPr>
                <w:sz w:val="20"/>
                <w:szCs w:val="20"/>
                <w:color w:val="auto"/>
              </w:rPr>
            </w:pPr>
            <w:r>
              <w:rPr>
                <w:rFonts w:ascii="Arial" w:cs="Arial" w:eastAsia="Arial" w:hAnsi="Arial"/>
                <w:sz w:val="16"/>
                <w:szCs w:val="16"/>
                <w:color w:val="auto"/>
              </w:rPr>
              <w:t>31(i)</w:t>
            </w:r>
          </w:p>
        </w:tc>
        <w:tc>
          <w:tcPr>
            <w:tcW w:w="7620" w:type="dxa"/>
            <w:vAlign w:val="bottom"/>
            <w:gridSpan w:val="8"/>
          </w:tcPr>
          <w:p>
            <w:pPr>
              <w:spacing w:after="0" w:line="183" w:lineRule="exact"/>
              <w:rPr>
                <w:sz w:val="20"/>
                <w:szCs w:val="20"/>
                <w:color w:val="auto"/>
              </w:rPr>
            </w:pPr>
            <w:r>
              <w:rPr>
                <w:rFonts w:ascii="Arial" w:cs="Arial" w:eastAsia="Arial" w:hAnsi="Arial"/>
                <w:sz w:val="16"/>
                <w:szCs w:val="16"/>
                <w:color w:val="0000FF"/>
              </w:rPr>
              <w:t>Rule 13a-14(a) Certification of Principal Financial Officer</w:t>
            </w:r>
          </w:p>
        </w:tc>
        <w:tc>
          <w:tcPr>
            <w:tcW w:w="2960" w:type="dxa"/>
            <w:vAlign w:val="bottom"/>
          </w:tcPr>
          <w:p>
            <w:pPr>
              <w:ind w:left="2340"/>
              <w:spacing w:after="0" w:line="183" w:lineRule="exact"/>
              <w:rPr>
                <w:sz w:val="20"/>
                <w:szCs w:val="20"/>
                <w:color w:val="auto"/>
              </w:rPr>
            </w:pPr>
            <w:r>
              <w:rPr>
                <w:rFonts w:ascii="Arial" w:cs="Arial" w:eastAsia="Arial" w:hAnsi="Arial"/>
                <w:sz w:val="16"/>
                <w:szCs w:val="16"/>
                <w:color w:val="auto"/>
              </w:rPr>
              <w:t>X</w:t>
            </w:r>
          </w:p>
        </w:tc>
      </w:tr>
      <w:tr>
        <w:trPr>
          <w:trHeight w:val="48"/>
        </w:trPr>
        <w:tc>
          <w:tcPr>
            <w:tcW w:w="840" w:type="dxa"/>
            <w:vAlign w:val="bottom"/>
            <w:tcBorders>
              <w:bottom w:val="single" w:sz="8" w:color="ACACAC"/>
            </w:tcBorders>
          </w:tcPr>
          <w:p>
            <w:pPr>
              <w:spacing w:after="0"/>
              <w:rPr>
                <w:sz w:val="4"/>
                <w:szCs w:val="4"/>
                <w:color w:val="auto"/>
              </w:rPr>
            </w:pPr>
          </w:p>
        </w:tc>
        <w:tc>
          <w:tcPr>
            <w:tcW w:w="1780" w:type="dxa"/>
            <w:vAlign w:val="bottom"/>
            <w:tcBorders>
              <w:top w:val="single" w:sz="8" w:color="0000FF"/>
              <w:bottom w:val="single" w:sz="8" w:color="ACACAC"/>
            </w:tcBorders>
          </w:tcPr>
          <w:p>
            <w:pPr>
              <w:spacing w:after="0"/>
              <w:rPr>
                <w:sz w:val="4"/>
                <w:szCs w:val="4"/>
                <w:color w:val="auto"/>
              </w:rPr>
            </w:pPr>
          </w:p>
        </w:tc>
        <w:tc>
          <w:tcPr>
            <w:tcW w:w="1540" w:type="dxa"/>
            <w:vAlign w:val="bottom"/>
            <w:tcBorders>
              <w:top w:val="single" w:sz="8" w:color="0000FF"/>
              <w:bottom w:val="single" w:sz="8" w:color="ACACAC"/>
            </w:tcBorders>
          </w:tcPr>
          <w:p>
            <w:pPr>
              <w:spacing w:after="0"/>
              <w:rPr>
                <w:sz w:val="4"/>
                <w:szCs w:val="4"/>
                <w:color w:val="auto"/>
              </w:rPr>
            </w:pPr>
          </w:p>
        </w:tc>
        <w:tc>
          <w:tcPr>
            <w:tcW w:w="440" w:type="dxa"/>
            <w:vAlign w:val="bottom"/>
            <w:tcBorders>
              <w:top w:val="single" w:sz="8" w:color="0000FF"/>
              <w:bottom w:val="single" w:sz="8" w:color="ACACAC"/>
            </w:tcBorders>
          </w:tcPr>
          <w:p>
            <w:pPr>
              <w:spacing w:after="0"/>
              <w:rPr>
                <w:sz w:val="4"/>
                <w:szCs w:val="4"/>
                <w:color w:val="auto"/>
              </w:rPr>
            </w:pPr>
          </w:p>
        </w:tc>
        <w:tc>
          <w:tcPr>
            <w:tcW w:w="40" w:type="dxa"/>
            <w:vAlign w:val="bottom"/>
            <w:tcBorders>
              <w:top w:val="single" w:sz="8" w:color="0000FF"/>
              <w:bottom w:val="single" w:sz="8" w:color="ACACAC"/>
            </w:tcBorders>
          </w:tcPr>
          <w:p>
            <w:pPr>
              <w:spacing w:after="0"/>
              <w:rPr>
                <w:sz w:val="4"/>
                <w:szCs w:val="4"/>
                <w:color w:val="auto"/>
              </w:rPr>
            </w:pPr>
          </w:p>
        </w:tc>
        <w:tc>
          <w:tcPr>
            <w:tcW w:w="40" w:type="dxa"/>
            <w:vAlign w:val="bottom"/>
            <w:tcBorders>
              <w:bottom w:val="single" w:sz="8" w:color="ACACAC"/>
            </w:tcBorders>
          </w:tcPr>
          <w:p>
            <w:pPr>
              <w:spacing w:after="0"/>
              <w:rPr>
                <w:sz w:val="4"/>
                <w:szCs w:val="4"/>
                <w:color w:val="auto"/>
              </w:rPr>
            </w:pPr>
          </w:p>
        </w:tc>
        <w:tc>
          <w:tcPr>
            <w:tcW w:w="400" w:type="dxa"/>
            <w:vAlign w:val="bottom"/>
            <w:tcBorders>
              <w:bottom w:val="single" w:sz="8" w:color="ACACAC"/>
            </w:tcBorders>
          </w:tcPr>
          <w:p>
            <w:pPr>
              <w:spacing w:after="0"/>
              <w:rPr>
                <w:sz w:val="4"/>
                <w:szCs w:val="4"/>
                <w:color w:val="auto"/>
              </w:rPr>
            </w:pPr>
          </w:p>
        </w:tc>
        <w:tc>
          <w:tcPr>
            <w:tcW w:w="1040" w:type="dxa"/>
            <w:vAlign w:val="bottom"/>
            <w:tcBorders>
              <w:bottom w:val="single" w:sz="8" w:color="ACACAC"/>
            </w:tcBorders>
          </w:tcPr>
          <w:p>
            <w:pPr>
              <w:spacing w:after="0"/>
              <w:rPr>
                <w:sz w:val="4"/>
                <w:szCs w:val="4"/>
                <w:color w:val="auto"/>
              </w:rPr>
            </w:pPr>
          </w:p>
        </w:tc>
        <w:tc>
          <w:tcPr>
            <w:tcW w:w="2340" w:type="dxa"/>
            <w:vAlign w:val="bottom"/>
            <w:tcBorders>
              <w:bottom w:val="single" w:sz="8" w:color="ACACAC"/>
            </w:tcBorders>
          </w:tcPr>
          <w:p>
            <w:pPr>
              <w:spacing w:after="0"/>
              <w:rPr>
                <w:sz w:val="4"/>
                <w:szCs w:val="4"/>
                <w:color w:val="auto"/>
              </w:rPr>
            </w:pPr>
          </w:p>
        </w:tc>
        <w:tc>
          <w:tcPr>
            <w:tcW w:w="2960" w:type="dxa"/>
            <w:vAlign w:val="bottom"/>
            <w:tcBorders>
              <w:bottom w:val="single" w:sz="8" w:color="ACACAC"/>
            </w:tcBorders>
          </w:tcPr>
          <w:p>
            <w:pPr>
              <w:spacing w:after="0"/>
              <w:rPr>
                <w:sz w:val="4"/>
                <w:szCs w:val="4"/>
                <w:color w:val="auto"/>
              </w:rPr>
            </w:pPr>
          </w:p>
        </w:tc>
      </w:tr>
      <w:tr>
        <w:trPr>
          <w:trHeight w:val="183"/>
        </w:trPr>
        <w:tc>
          <w:tcPr>
            <w:tcW w:w="840" w:type="dxa"/>
            <w:vAlign w:val="bottom"/>
          </w:tcPr>
          <w:p>
            <w:pPr>
              <w:ind w:left="40"/>
              <w:spacing w:after="0" w:line="183" w:lineRule="exact"/>
              <w:rPr>
                <w:sz w:val="20"/>
                <w:szCs w:val="20"/>
                <w:color w:val="auto"/>
              </w:rPr>
            </w:pPr>
            <w:r>
              <w:rPr>
                <w:rFonts w:ascii="Arial" w:cs="Arial" w:eastAsia="Arial" w:hAnsi="Arial"/>
                <w:sz w:val="16"/>
                <w:szCs w:val="16"/>
                <w:color w:val="auto"/>
              </w:rPr>
              <w:t>32</w:t>
            </w:r>
          </w:p>
        </w:tc>
        <w:tc>
          <w:tcPr>
            <w:tcW w:w="7620" w:type="dxa"/>
            <w:vAlign w:val="bottom"/>
            <w:gridSpan w:val="8"/>
          </w:tcPr>
          <w:p>
            <w:pPr>
              <w:spacing w:after="0" w:line="183" w:lineRule="exact"/>
              <w:rPr>
                <w:sz w:val="20"/>
                <w:szCs w:val="20"/>
                <w:color w:val="auto"/>
              </w:rPr>
            </w:pPr>
            <w:r>
              <w:rPr>
                <w:rFonts w:ascii="Arial" w:cs="Arial" w:eastAsia="Arial" w:hAnsi="Arial"/>
                <w:sz w:val="16"/>
                <w:szCs w:val="16"/>
                <w:color w:val="0000FF"/>
              </w:rPr>
              <w:t>Section 1350 Certifications</w:t>
            </w:r>
          </w:p>
        </w:tc>
        <w:tc>
          <w:tcPr>
            <w:tcW w:w="2960" w:type="dxa"/>
            <w:vAlign w:val="bottom"/>
          </w:tcPr>
          <w:p>
            <w:pPr>
              <w:ind w:left="2340"/>
              <w:spacing w:after="0" w:line="183" w:lineRule="exact"/>
              <w:rPr>
                <w:sz w:val="20"/>
                <w:szCs w:val="20"/>
                <w:color w:val="auto"/>
              </w:rPr>
            </w:pPr>
            <w:r>
              <w:rPr>
                <w:rFonts w:ascii="Arial" w:cs="Arial" w:eastAsia="Arial" w:hAnsi="Arial"/>
                <w:sz w:val="16"/>
                <w:szCs w:val="16"/>
                <w:color w:val="auto"/>
              </w:rPr>
              <w:t>X</w:t>
            </w:r>
          </w:p>
        </w:tc>
      </w:tr>
      <w:tr>
        <w:trPr>
          <w:trHeight w:val="48"/>
        </w:trPr>
        <w:tc>
          <w:tcPr>
            <w:tcW w:w="840" w:type="dxa"/>
            <w:vAlign w:val="bottom"/>
            <w:tcBorders>
              <w:bottom w:val="single" w:sz="8" w:color="ACACAC"/>
            </w:tcBorders>
          </w:tcPr>
          <w:p>
            <w:pPr>
              <w:spacing w:after="0"/>
              <w:rPr>
                <w:sz w:val="4"/>
                <w:szCs w:val="4"/>
                <w:color w:val="auto"/>
              </w:rPr>
            </w:pPr>
          </w:p>
        </w:tc>
        <w:tc>
          <w:tcPr>
            <w:tcW w:w="1780" w:type="dxa"/>
            <w:vAlign w:val="bottom"/>
            <w:tcBorders>
              <w:top w:val="single" w:sz="8" w:color="0000FF"/>
              <w:bottom w:val="single" w:sz="8" w:color="ACACAC"/>
            </w:tcBorders>
          </w:tcPr>
          <w:p>
            <w:pPr>
              <w:spacing w:after="0"/>
              <w:rPr>
                <w:sz w:val="4"/>
                <w:szCs w:val="4"/>
                <w:color w:val="auto"/>
              </w:rPr>
            </w:pPr>
          </w:p>
        </w:tc>
        <w:tc>
          <w:tcPr>
            <w:tcW w:w="1540" w:type="dxa"/>
            <w:vAlign w:val="bottom"/>
            <w:tcBorders>
              <w:bottom w:val="single" w:sz="8" w:color="ACACAC"/>
            </w:tcBorders>
          </w:tcPr>
          <w:p>
            <w:pPr>
              <w:spacing w:after="0"/>
              <w:rPr>
                <w:sz w:val="4"/>
                <w:szCs w:val="4"/>
                <w:color w:val="auto"/>
              </w:rPr>
            </w:pPr>
          </w:p>
        </w:tc>
        <w:tc>
          <w:tcPr>
            <w:tcW w:w="440" w:type="dxa"/>
            <w:vAlign w:val="bottom"/>
            <w:tcBorders>
              <w:bottom w:val="single" w:sz="8" w:color="ACACAC"/>
            </w:tcBorders>
          </w:tcPr>
          <w:p>
            <w:pPr>
              <w:spacing w:after="0"/>
              <w:rPr>
                <w:sz w:val="4"/>
                <w:szCs w:val="4"/>
                <w:color w:val="auto"/>
              </w:rPr>
            </w:pPr>
          </w:p>
        </w:tc>
        <w:tc>
          <w:tcPr>
            <w:tcW w:w="40" w:type="dxa"/>
            <w:vAlign w:val="bottom"/>
            <w:tcBorders>
              <w:bottom w:val="single" w:sz="8" w:color="ACACAC"/>
            </w:tcBorders>
          </w:tcPr>
          <w:p>
            <w:pPr>
              <w:spacing w:after="0"/>
              <w:rPr>
                <w:sz w:val="4"/>
                <w:szCs w:val="4"/>
                <w:color w:val="auto"/>
              </w:rPr>
            </w:pPr>
          </w:p>
        </w:tc>
        <w:tc>
          <w:tcPr>
            <w:tcW w:w="40" w:type="dxa"/>
            <w:vAlign w:val="bottom"/>
            <w:tcBorders>
              <w:bottom w:val="single" w:sz="8" w:color="ACACAC"/>
            </w:tcBorders>
          </w:tcPr>
          <w:p>
            <w:pPr>
              <w:spacing w:after="0"/>
              <w:rPr>
                <w:sz w:val="4"/>
                <w:szCs w:val="4"/>
                <w:color w:val="auto"/>
              </w:rPr>
            </w:pPr>
          </w:p>
        </w:tc>
        <w:tc>
          <w:tcPr>
            <w:tcW w:w="400" w:type="dxa"/>
            <w:vAlign w:val="bottom"/>
            <w:tcBorders>
              <w:bottom w:val="single" w:sz="8" w:color="ACACAC"/>
            </w:tcBorders>
          </w:tcPr>
          <w:p>
            <w:pPr>
              <w:spacing w:after="0"/>
              <w:rPr>
                <w:sz w:val="4"/>
                <w:szCs w:val="4"/>
                <w:color w:val="auto"/>
              </w:rPr>
            </w:pPr>
          </w:p>
        </w:tc>
        <w:tc>
          <w:tcPr>
            <w:tcW w:w="1040" w:type="dxa"/>
            <w:vAlign w:val="bottom"/>
            <w:tcBorders>
              <w:bottom w:val="single" w:sz="8" w:color="ACACAC"/>
            </w:tcBorders>
          </w:tcPr>
          <w:p>
            <w:pPr>
              <w:spacing w:after="0"/>
              <w:rPr>
                <w:sz w:val="4"/>
                <w:szCs w:val="4"/>
                <w:color w:val="auto"/>
              </w:rPr>
            </w:pPr>
          </w:p>
        </w:tc>
        <w:tc>
          <w:tcPr>
            <w:tcW w:w="2340" w:type="dxa"/>
            <w:vAlign w:val="bottom"/>
            <w:tcBorders>
              <w:bottom w:val="single" w:sz="8" w:color="ACACAC"/>
            </w:tcBorders>
          </w:tcPr>
          <w:p>
            <w:pPr>
              <w:spacing w:after="0"/>
              <w:rPr>
                <w:sz w:val="4"/>
                <w:szCs w:val="4"/>
                <w:color w:val="auto"/>
              </w:rPr>
            </w:pPr>
          </w:p>
        </w:tc>
        <w:tc>
          <w:tcPr>
            <w:tcW w:w="2960" w:type="dxa"/>
            <w:vAlign w:val="bottom"/>
            <w:tcBorders>
              <w:bottom w:val="single" w:sz="8" w:color="ACACAC"/>
            </w:tcBorders>
          </w:tcPr>
          <w:p>
            <w:pPr>
              <w:spacing w:after="0"/>
              <w:rPr>
                <w:sz w:val="4"/>
                <w:szCs w:val="4"/>
                <w:color w:val="auto"/>
              </w:rPr>
            </w:pPr>
          </w:p>
        </w:tc>
      </w:tr>
      <w:tr>
        <w:trPr>
          <w:trHeight w:val="240"/>
        </w:trPr>
        <w:tc>
          <w:tcPr>
            <w:tcW w:w="840" w:type="dxa"/>
            <w:vAlign w:val="bottom"/>
          </w:tcPr>
          <w:p>
            <w:pPr>
              <w:ind w:left="40"/>
              <w:spacing w:after="0"/>
              <w:rPr>
                <w:sz w:val="20"/>
                <w:szCs w:val="20"/>
                <w:color w:val="auto"/>
              </w:rPr>
            </w:pPr>
            <w:r>
              <w:rPr>
                <w:rFonts w:ascii="Arial" w:cs="Arial" w:eastAsia="Arial" w:hAnsi="Arial"/>
                <w:sz w:val="16"/>
                <w:szCs w:val="16"/>
                <w:color w:val="auto"/>
              </w:rPr>
              <w:t>101.INS</w:t>
            </w:r>
          </w:p>
        </w:tc>
        <w:tc>
          <w:tcPr>
            <w:tcW w:w="7620" w:type="dxa"/>
            <w:vAlign w:val="bottom"/>
            <w:gridSpan w:val="8"/>
          </w:tcPr>
          <w:p>
            <w:pPr>
              <w:spacing w:after="0"/>
              <w:rPr>
                <w:sz w:val="20"/>
                <w:szCs w:val="20"/>
                <w:color w:val="auto"/>
              </w:rPr>
            </w:pPr>
            <w:r>
              <w:rPr>
                <w:rFonts w:ascii="Arial" w:cs="Arial" w:eastAsia="Arial" w:hAnsi="Arial"/>
                <w:sz w:val="16"/>
                <w:szCs w:val="16"/>
                <w:color w:val="auto"/>
              </w:rPr>
              <w:t>XBRL Instance Document - The instance document does not appear in the</w:t>
            </w:r>
          </w:p>
        </w:tc>
        <w:tc>
          <w:tcPr>
            <w:tcW w:w="2960" w:type="dxa"/>
            <w:vAlign w:val="bottom"/>
          </w:tcPr>
          <w:p>
            <w:pPr>
              <w:ind w:left="2340"/>
              <w:spacing w:after="0"/>
              <w:rPr>
                <w:sz w:val="20"/>
                <w:szCs w:val="20"/>
                <w:color w:val="auto"/>
              </w:rPr>
            </w:pPr>
            <w:r>
              <w:rPr>
                <w:rFonts w:ascii="Arial" w:cs="Arial" w:eastAsia="Arial" w:hAnsi="Arial"/>
                <w:sz w:val="16"/>
                <w:szCs w:val="16"/>
                <w:color w:val="auto"/>
              </w:rPr>
              <w:t>X</w:t>
            </w:r>
          </w:p>
        </w:tc>
      </w:tr>
      <w:tr>
        <w:trPr>
          <w:trHeight w:val="203"/>
        </w:trPr>
        <w:tc>
          <w:tcPr>
            <w:tcW w:w="840" w:type="dxa"/>
            <w:vAlign w:val="bottom"/>
          </w:tcPr>
          <w:p>
            <w:pPr>
              <w:spacing w:after="0"/>
              <w:rPr>
                <w:sz w:val="17"/>
                <w:szCs w:val="17"/>
                <w:color w:val="auto"/>
              </w:rPr>
            </w:pPr>
          </w:p>
        </w:tc>
        <w:tc>
          <w:tcPr>
            <w:tcW w:w="7620" w:type="dxa"/>
            <w:vAlign w:val="bottom"/>
            <w:gridSpan w:val="8"/>
          </w:tcPr>
          <w:p>
            <w:pPr>
              <w:spacing w:after="0"/>
              <w:rPr>
                <w:sz w:val="20"/>
                <w:szCs w:val="20"/>
                <w:color w:val="auto"/>
              </w:rPr>
            </w:pPr>
            <w:r>
              <w:rPr>
                <w:rFonts w:ascii="Arial" w:cs="Arial" w:eastAsia="Arial" w:hAnsi="Arial"/>
                <w:sz w:val="16"/>
                <w:szCs w:val="16"/>
                <w:color w:val="auto"/>
              </w:rPr>
              <w:t>Interactive Data File because its XBRL tags are embedded within the Inline</w:t>
            </w:r>
          </w:p>
        </w:tc>
        <w:tc>
          <w:tcPr>
            <w:tcW w:w="2960" w:type="dxa"/>
            <w:vAlign w:val="bottom"/>
          </w:tcPr>
          <w:p>
            <w:pPr>
              <w:spacing w:after="0"/>
              <w:rPr>
                <w:sz w:val="17"/>
                <w:szCs w:val="17"/>
                <w:color w:val="auto"/>
              </w:rPr>
            </w:pPr>
          </w:p>
        </w:tc>
      </w:tr>
      <w:tr>
        <w:trPr>
          <w:trHeight w:val="206"/>
        </w:trPr>
        <w:tc>
          <w:tcPr>
            <w:tcW w:w="840" w:type="dxa"/>
            <w:vAlign w:val="bottom"/>
          </w:tcPr>
          <w:p>
            <w:pPr>
              <w:spacing w:after="0"/>
              <w:rPr>
                <w:sz w:val="17"/>
                <w:szCs w:val="17"/>
                <w:color w:val="auto"/>
              </w:rPr>
            </w:pPr>
          </w:p>
        </w:tc>
        <w:tc>
          <w:tcPr>
            <w:tcW w:w="7620" w:type="dxa"/>
            <w:vAlign w:val="bottom"/>
            <w:gridSpan w:val="8"/>
          </w:tcPr>
          <w:p>
            <w:pPr>
              <w:spacing w:after="0"/>
              <w:rPr>
                <w:sz w:val="20"/>
                <w:szCs w:val="20"/>
                <w:color w:val="auto"/>
              </w:rPr>
            </w:pPr>
            <w:r>
              <w:rPr>
                <w:rFonts w:ascii="Arial" w:cs="Arial" w:eastAsia="Arial" w:hAnsi="Arial"/>
                <w:sz w:val="16"/>
                <w:szCs w:val="16"/>
                <w:color w:val="auto"/>
              </w:rPr>
              <w:t>XBRL document</w:t>
            </w:r>
          </w:p>
        </w:tc>
        <w:tc>
          <w:tcPr>
            <w:tcW w:w="2960" w:type="dxa"/>
            <w:vAlign w:val="bottom"/>
          </w:tcPr>
          <w:p>
            <w:pPr>
              <w:spacing w:after="0"/>
              <w:rPr>
                <w:sz w:val="17"/>
                <w:szCs w:val="17"/>
                <w:color w:val="auto"/>
              </w:rPr>
            </w:pPr>
          </w:p>
        </w:tc>
      </w:tr>
      <w:tr>
        <w:trPr>
          <w:trHeight w:val="60"/>
        </w:trPr>
        <w:tc>
          <w:tcPr>
            <w:tcW w:w="840" w:type="dxa"/>
            <w:vAlign w:val="bottom"/>
            <w:tcBorders>
              <w:bottom w:val="single" w:sz="8" w:color="ACACAC"/>
            </w:tcBorders>
          </w:tcPr>
          <w:p>
            <w:pPr>
              <w:spacing w:after="0"/>
              <w:rPr>
                <w:sz w:val="5"/>
                <w:szCs w:val="5"/>
                <w:color w:val="auto"/>
              </w:rPr>
            </w:pPr>
          </w:p>
        </w:tc>
        <w:tc>
          <w:tcPr>
            <w:tcW w:w="1780" w:type="dxa"/>
            <w:vAlign w:val="bottom"/>
            <w:tcBorders>
              <w:bottom w:val="single" w:sz="8" w:color="ACACAC"/>
            </w:tcBorders>
          </w:tcPr>
          <w:p>
            <w:pPr>
              <w:spacing w:after="0"/>
              <w:rPr>
                <w:sz w:val="5"/>
                <w:szCs w:val="5"/>
                <w:color w:val="auto"/>
              </w:rPr>
            </w:pPr>
          </w:p>
        </w:tc>
        <w:tc>
          <w:tcPr>
            <w:tcW w:w="1540" w:type="dxa"/>
            <w:vAlign w:val="bottom"/>
            <w:tcBorders>
              <w:bottom w:val="single" w:sz="8" w:color="ACACAC"/>
            </w:tcBorders>
          </w:tcPr>
          <w:p>
            <w:pPr>
              <w:spacing w:after="0"/>
              <w:rPr>
                <w:sz w:val="5"/>
                <w:szCs w:val="5"/>
                <w:color w:val="auto"/>
              </w:rPr>
            </w:pPr>
          </w:p>
        </w:tc>
        <w:tc>
          <w:tcPr>
            <w:tcW w:w="440" w:type="dxa"/>
            <w:vAlign w:val="bottom"/>
            <w:tcBorders>
              <w:bottom w:val="single" w:sz="8" w:color="ACACAC"/>
            </w:tcBorders>
          </w:tcPr>
          <w:p>
            <w:pPr>
              <w:spacing w:after="0"/>
              <w:rPr>
                <w:sz w:val="5"/>
                <w:szCs w:val="5"/>
                <w:color w:val="auto"/>
              </w:rPr>
            </w:pPr>
          </w:p>
        </w:tc>
        <w:tc>
          <w:tcPr>
            <w:tcW w:w="40" w:type="dxa"/>
            <w:vAlign w:val="bottom"/>
            <w:tcBorders>
              <w:bottom w:val="single" w:sz="8" w:color="ACACAC"/>
            </w:tcBorders>
          </w:tcPr>
          <w:p>
            <w:pPr>
              <w:spacing w:after="0"/>
              <w:rPr>
                <w:sz w:val="5"/>
                <w:szCs w:val="5"/>
                <w:color w:val="auto"/>
              </w:rPr>
            </w:pPr>
          </w:p>
        </w:tc>
        <w:tc>
          <w:tcPr>
            <w:tcW w:w="40" w:type="dxa"/>
            <w:vAlign w:val="bottom"/>
            <w:tcBorders>
              <w:bottom w:val="single" w:sz="8" w:color="ACACAC"/>
            </w:tcBorders>
          </w:tcPr>
          <w:p>
            <w:pPr>
              <w:spacing w:after="0"/>
              <w:rPr>
                <w:sz w:val="5"/>
                <w:szCs w:val="5"/>
                <w:color w:val="auto"/>
              </w:rPr>
            </w:pPr>
          </w:p>
        </w:tc>
        <w:tc>
          <w:tcPr>
            <w:tcW w:w="400" w:type="dxa"/>
            <w:vAlign w:val="bottom"/>
            <w:tcBorders>
              <w:bottom w:val="single" w:sz="8" w:color="ACACAC"/>
            </w:tcBorders>
          </w:tcPr>
          <w:p>
            <w:pPr>
              <w:spacing w:after="0"/>
              <w:rPr>
                <w:sz w:val="5"/>
                <w:szCs w:val="5"/>
                <w:color w:val="auto"/>
              </w:rPr>
            </w:pPr>
          </w:p>
        </w:tc>
        <w:tc>
          <w:tcPr>
            <w:tcW w:w="1040" w:type="dxa"/>
            <w:vAlign w:val="bottom"/>
            <w:tcBorders>
              <w:bottom w:val="single" w:sz="8" w:color="ACACAC"/>
            </w:tcBorders>
          </w:tcPr>
          <w:p>
            <w:pPr>
              <w:spacing w:after="0"/>
              <w:rPr>
                <w:sz w:val="5"/>
                <w:szCs w:val="5"/>
                <w:color w:val="auto"/>
              </w:rPr>
            </w:pPr>
          </w:p>
        </w:tc>
        <w:tc>
          <w:tcPr>
            <w:tcW w:w="2340" w:type="dxa"/>
            <w:vAlign w:val="bottom"/>
            <w:tcBorders>
              <w:bottom w:val="single" w:sz="8" w:color="ACACAC"/>
            </w:tcBorders>
          </w:tcPr>
          <w:p>
            <w:pPr>
              <w:spacing w:after="0"/>
              <w:rPr>
                <w:sz w:val="5"/>
                <w:szCs w:val="5"/>
                <w:color w:val="auto"/>
              </w:rPr>
            </w:pPr>
          </w:p>
        </w:tc>
        <w:tc>
          <w:tcPr>
            <w:tcW w:w="2960" w:type="dxa"/>
            <w:vAlign w:val="bottom"/>
            <w:tcBorders>
              <w:bottom w:val="single" w:sz="8" w:color="ACACAC"/>
            </w:tcBorders>
          </w:tcPr>
          <w:p>
            <w:pPr>
              <w:spacing w:after="0"/>
              <w:rPr>
                <w:sz w:val="5"/>
                <w:szCs w:val="5"/>
                <w:color w:val="auto"/>
              </w:rPr>
            </w:pPr>
          </w:p>
        </w:tc>
      </w:tr>
      <w:tr>
        <w:trPr>
          <w:trHeight w:val="217"/>
        </w:trPr>
        <w:tc>
          <w:tcPr>
            <w:tcW w:w="840" w:type="dxa"/>
            <w:vAlign w:val="bottom"/>
          </w:tcPr>
          <w:p>
            <w:pPr>
              <w:ind w:left="40"/>
              <w:spacing w:after="0"/>
              <w:rPr>
                <w:sz w:val="20"/>
                <w:szCs w:val="20"/>
                <w:color w:val="auto"/>
              </w:rPr>
            </w:pPr>
            <w:r>
              <w:rPr>
                <w:rFonts w:ascii="Arial" w:cs="Arial" w:eastAsia="Arial" w:hAnsi="Arial"/>
                <w:sz w:val="16"/>
                <w:szCs w:val="16"/>
                <w:color w:val="auto"/>
              </w:rPr>
              <w:t>101.SCH</w:t>
            </w:r>
          </w:p>
        </w:tc>
        <w:tc>
          <w:tcPr>
            <w:tcW w:w="7620" w:type="dxa"/>
            <w:vAlign w:val="bottom"/>
            <w:gridSpan w:val="8"/>
          </w:tcPr>
          <w:p>
            <w:pPr>
              <w:spacing w:after="0"/>
              <w:rPr>
                <w:sz w:val="20"/>
                <w:szCs w:val="20"/>
                <w:color w:val="auto"/>
              </w:rPr>
            </w:pPr>
            <w:r>
              <w:rPr>
                <w:rFonts w:ascii="Arial" w:cs="Arial" w:eastAsia="Arial" w:hAnsi="Arial"/>
                <w:sz w:val="16"/>
                <w:szCs w:val="16"/>
                <w:color w:val="auto"/>
              </w:rPr>
              <w:t>XBRL Taxonomy Extension Schema</w:t>
            </w:r>
          </w:p>
        </w:tc>
        <w:tc>
          <w:tcPr>
            <w:tcW w:w="2960" w:type="dxa"/>
            <w:vAlign w:val="bottom"/>
          </w:tcPr>
          <w:p>
            <w:pPr>
              <w:ind w:left="2340"/>
              <w:spacing w:after="0"/>
              <w:rPr>
                <w:sz w:val="20"/>
                <w:szCs w:val="20"/>
                <w:color w:val="auto"/>
              </w:rPr>
            </w:pPr>
            <w:r>
              <w:rPr>
                <w:rFonts w:ascii="Arial" w:cs="Arial" w:eastAsia="Arial" w:hAnsi="Arial"/>
                <w:sz w:val="16"/>
                <w:szCs w:val="16"/>
                <w:color w:val="auto"/>
              </w:rPr>
              <w:t>X</w:t>
            </w:r>
          </w:p>
        </w:tc>
      </w:tr>
      <w:tr>
        <w:trPr>
          <w:trHeight w:val="33"/>
        </w:trPr>
        <w:tc>
          <w:tcPr>
            <w:tcW w:w="84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54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2340" w:type="dxa"/>
            <w:vAlign w:val="bottom"/>
            <w:tcBorders>
              <w:bottom w:val="single" w:sz="8" w:color="ACACAC"/>
            </w:tcBorders>
          </w:tcPr>
          <w:p>
            <w:pPr>
              <w:spacing w:after="0"/>
              <w:rPr>
                <w:sz w:val="2"/>
                <w:szCs w:val="2"/>
                <w:color w:val="auto"/>
              </w:rPr>
            </w:pPr>
          </w:p>
        </w:tc>
        <w:tc>
          <w:tcPr>
            <w:tcW w:w="2960" w:type="dxa"/>
            <w:vAlign w:val="bottom"/>
            <w:tcBorders>
              <w:bottom w:val="single" w:sz="8" w:color="ACACAC"/>
            </w:tcBorders>
          </w:tcPr>
          <w:p>
            <w:pPr>
              <w:spacing w:after="0"/>
              <w:rPr>
                <w:sz w:val="2"/>
                <w:szCs w:val="2"/>
                <w:color w:val="auto"/>
              </w:rPr>
            </w:pPr>
          </w:p>
        </w:tc>
      </w:tr>
      <w:tr>
        <w:trPr>
          <w:trHeight w:val="217"/>
        </w:trPr>
        <w:tc>
          <w:tcPr>
            <w:tcW w:w="840" w:type="dxa"/>
            <w:vAlign w:val="bottom"/>
          </w:tcPr>
          <w:p>
            <w:pPr>
              <w:ind w:left="40"/>
              <w:spacing w:after="0"/>
              <w:rPr>
                <w:sz w:val="20"/>
                <w:szCs w:val="20"/>
                <w:color w:val="auto"/>
              </w:rPr>
            </w:pPr>
            <w:r>
              <w:rPr>
                <w:rFonts w:ascii="Arial" w:cs="Arial" w:eastAsia="Arial" w:hAnsi="Arial"/>
                <w:sz w:val="16"/>
                <w:szCs w:val="16"/>
                <w:color w:val="auto"/>
              </w:rPr>
              <w:t>101.CAL</w:t>
            </w:r>
          </w:p>
        </w:tc>
        <w:tc>
          <w:tcPr>
            <w:tcW w:w="7620" w:type="dxa"/>
            <w:vAlign w:val="bottom"/>
            <w:gridSpan w:val="8"/>
          </w:tcPr>
          <w:p>
            <w:pPr>
              <w:spacing w:after="0"/>
              <w:rPr>
                <w:sz w:val="20"/>
                <w:szCs w:val="20"/>
                <w:color w:val="auto"/>
              </w:rPr>
            </w:pPr>
            <w:r>
              <w:rPr>
                <w:rFonts w:ascii="Arial" w:cs="Arial" w:eastAsia="Arial" w:hAnsi="Arial"/>
                <w:sz w:val="16"/>
                <w:szCs w:val="16"/>
                <w:color w:val="auto"/>
              </w:rPr>
              <w:t>XBRL Taxonomy Extension Calculation Linkbase</w:t>
            </w:r>
          </w:p>
        </w:tc>
        <w:tc>
          <w:tcPr>
            <w:tcW w:w="2960" w:type="dxa"/>
            <w:vAlign w:val="bottom"/>
          </w:tcPr>
          <w:p>
            <w:pPr>
              <w:ind w:left="2340"/>
              <w:spacing w:after="0"/>
              <w:rPr>
                <w:sz w:val="20"/>
                <w:szCs w:val="20"/>
                <w:color w:val="auto"/>
              </w:rPr>
            </w:pPr>
            <w:r>
              <w:rPr>
                <w:rFonts w:ascii="Arial" w:cs="Arial" w:eastAsia="Arial" w:hAnsi="Arial"/>
                <w:sz w:val="16"/>
                <w:szCs w:val="16"/>
                <w:color w:val="auto"/>
              </w:rPr>
              <w:t>X</w:t>
            </w:r>
          </w:p>
        </w:tc>
      </w:tr>
      <w:tr>
        <w:trPr>
          <w:trHeight w:val="33"/>
        </w:trPr>
        <w:tc>
          <w:tcPr>
            <w:tcW w:w="84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54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2340" w:type="dxa"/>
            <w:vAlign w:val="bottom"/>
            <w:tcBorders>
              <w:bottom w:val="single" w:sz="8" w:color="ACACAC"/>
            </w:tcBorders>
          </w:tcPr>
          <w:p>
            <w:pPr>
              <w:spacing w:after="0"/>
              <w:rPr>
                <w:sz w:val="2"/>
                <w:szCs w:val="2"/>
                <w:color w:val="auto"/>
              </w:rPr>
            </w:pPr>
          </w:p>
        </w:tc>
        <w:tc>
          <w:tcPr>
            <w:tcW w:w="2960" w:type="dxa"/>
            <w:vAlign w:val="bottom"/>
            <w:tcBorders>
              <w:bottom w:val="single" w:sz="8" w:color="ACACAC"/>
            </w:tcBorders>
          </w:tcPr>
          <w:p>
            <w:pPr>
              <w:spacing w:after="0"/>
              <w:rPr>
                <w:sz w:val="2"/>
                <w:szCs w:val="2"/>
                <w:color w:val="auto"/>
              </w:rPr>
            </w:pPr>
          </w:p>
        </w:tc>
      </w:tr>
      <w:tr>
        <w:trPr>
          <w:trHeight w:val="217"/>
        </w:trPr>
        <w:tc>
          <w:tcPr>
            <w:tcW w:w="840" w:type="dxa"/>
            <w:vAlign w:val="bottom"/>
          </w:tcPr>
          <w:p>
            <w:pPr>
              <w:ind w:left="40"/>
              <w:spacing w:after="0"/>
              <w:rPr>
                <w:sz w:val="20"/>
                <w:szCs w:val="20"/>
                <w:color w:val="auto"/>
              </w:rPr>
            </w:pPr>
            <w:r>
              <w:rPr>
                <w:rFonts w:ascii="Arial" w:cs="Arial" w:eastAsia="Arial" w:hAnsi="Arial"/>
                <w:sz w:val="16"/>
                <w:szCs w:val="16"/>
                <w:color w:val="auto"/>
              </w:rPr>
              <w:t>101.DEF</w:t>
            </w:r>
          </w:p>
        </w:tc>
        <w:tc>
          <w:tcPr>
            <w:tcW w:w="7620" w:type="dxa"/>
            <w:vAlign w:val="bottom"/>
            <w:gridSpan w:val="8"/>
          </w:tcPr>
          <w:p>
            <w:pPr>
              <w:spacing w:after="0"/>
              <w:rPr>
                <w:sz w:val="20"/>
                <w:szCs w:val="20"/>
                <w:color w:val="auto"/>
              </w:rPr>
            </w:pPr>
            <w:r>
              <w:rPr>
                <w:rFonts w:ascii="Arial" w:cs="Arial" w:eastAsia="Arial" w:hAnsi="Arial"/>
                <w:sz w:val="16"/>
                <w:szCs w:val="16"/>
                <w:color w:val="auto"/>
              </w:rPr>
              <w:t>XBRL Taxonomy Extension Definition Linkbase</w:t>
            </w:r>
          </w:p>
        </w:tc>
        <w:tc>
          <w:tcPr>
            <w:tcW w:w="2960" w:type="dxa"/>
            <w:vAlign w:val="bottom"/>
          </w:tcPr>
          <w:p>
            <w:pPr>
              <w:ind w:left="2340"/>
              <w:spacing w:after="0"/>
              <w:rPr>
                <w:sz w:val="20"/>
                <w:szCs w:val="20"/>
                <w:color w:val="auto"/>
              </w:rPr>
            </w:pPr>
            <w:r>
              <w:rPr>
                <w:rFonts w:ascii="Arial" w:cs="Arial" w:eastAsia="Arial" w:hAnsi="Arial"/>
                <w:sz w:val="16"/>
                <w:szCs w:val="16"/>
                <w:color w:val="auto"/>
              </w:rPr>
              <w:t>X</w:t>
            </w:r>
          </w:p>
        </w:tc>
      </w:tr>
      <w:tr>
        <w:trPr>
          <w:trHeight w:val="33"/>
        </w:trPr>
        <w:tc>
          <w:tcPr>
            <w:tcW w:w="84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54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2340" w:type="dxa"/>
            <w:vAlign w:val="bottom"/>
            <w:tcBorders>
              <w:bottom w:val="single" w:sz="8" w:color="ACACAC"/>
            </w:tcBorders>
          </w:tcPr>
          <w:p>
            <w:pPr>
              <w:spacing w:after="0"/>
              <w:rPr>
                <w:sz w:val="2"/>
                <w:szCs w:val="2"/>
                <w:color w:val="auto"/>
              </w:rPr>
            </w:pPr>
          </w:p>
        </w:tc>
        <w:tc>
          <w:tcPr>
            <w:tcW w:w="2960" w:type="dxa"/>
            <w:vAlign w:val="bottom"/>
            <w:tcBorders>
              <w:bottom w:val="single" w:sz="8" w:color="ACACAC"/>
            </w:tcBorders>
          </w:tcPr>
          <w:p>
            <w:pPr>
              <w:spacing w:after="0"/>
              <w:rPr>
                <w:sz w:val="2"/>
                <w:szCs w:val="2"/>
                <w:color w:val="auto"/>
              </w:rPr>
            </w:pPr>
          </w:p>
        </w:tc>
      </w:tr>
      <w:tr>
        <w:trPr>
          <w:trHeight w:val="217"/>
        </w:trPr>
        <w:tc>
          <w:tcPr>
            <w:tcW w:w="840" w:type="dxa"/>
            <w:vAlign w:val="bottom"/>
          </w:tcPr>
          <w:p>
            <w:pPr>
              <w:ind w:left="40"/>
              <w:spacing w:after="0"/>
              <w:rPr>
                <w:sz w:val="20"/>
                <w:szCs w:val="20"/>
                <w:color w:val="auto"/>
              </w:rPr>
            </w:pPr>
            <w:r>
              <w:rPr>
                <w:rFonts w:ascii="Arial" w:cs="Arial" w:eastAsia="Arial" w:hAnsi="Arial"/>
                <w:sz w:val="16"/>
                <w:szCs w:val="16"/>
                <w:color w:val="auto"/>
              </w:rPr>
              <w:t>101.LAB</w:t>
            </w:r>
          </w:p>
        </w:tc>
        <w:tc>
          <w:tcPr>
            <w:tcW w:w="7620" w:type="dxa"/>
            <w:vAlign w:val="bottom"/>
            <w:gridSpan w:val="8"/>
          </w:tcPr>
          <w:p>
            <w:pPr>
              <w:spacing w:after="0"/>
              <w:rPr>
                <w:sz w:val="20"/>
                <w:szCs w:val="20"/>
                <w:color w:val="auto"/>
              </w:rPr>
            </w:pPr>
            <w:r>
              <w:rPr>
                <w:rFonts w:ascii="Arial" w:cs="Arial" w:eastAsia="Arial" w:hAnsi="Arial"/>
                <w:sz w:val="16"/>
                <w:szCs w:val="16"/>
                <w:color w:val="auto"/>
              </w:rPr>
              <w:t>XBRL Taxonomy Extension Label Linkbase</w:t>
            </w:r>
          </w:p>
        </w:tc>
        <w:tc>
          <w:tcPr>
            <w:tcW w:w="2960" w:type="dxa"/>
            <w:vAlign w:val="bottom"/>
          </w:tcPr>
          <w:p>
            <w:pPr>
              <w:ind w:left="2340"/>
              <w:spacing w:after="0"/>
              <w:rPr>
                <w:sz w:val="20"/>
                <w:szCs w:val="20"/>
                <w:color w:val="auto"/>
              </w:rPr>
            </w:pPr>
            <w:r>
              <w:rPr>
                <w:rFonts w:ascii="Arial" w:cs="Arial" w:eastAsia="Arial" w:hAnsi="Arial"/>
                <w:sz w:val="16"/>
                <w:szCs w:val="16"/>
                <w:color w:val="auto"/>
              </w:rPr>
              <w:t>X</w:t>
            </w:r>
          </w:p>
        </w:tc>
      </w:tr>
      <w:tr>
        <w:trPr>
          <w:trHeight w:val="33"/>
        </w:trPr>
        <w:tc>
          <w:tcPr>
            <w:tcW w:w="840" w:type="dxa"/>
            <w:vAlign w:val="bottom"/>
            <w:tcBorders>
              <w:bottom w:val="single" w:sz="8" w:color="ACACAC"/>
            </w:tcBorders>
          </w:tcPr>
          <w:p>
            <w:pPr>
              <w:spacing w:after="0"/>
              <w:rPr>
                <w:sz w:val="2"/>
                <w:szCs w:val="2"/>
                <w:color w:val="auto"/>
              </w:rPr>
            </w:pPr>
          </w:p>
        </w:tc>
        <w:tc>
          <w:tcPr>
            <w:tcW w:w="1780" w:type="dxa"/>
            <w:vAlign w:val="bottom"/>
            <w:tcBorders>
              <w:bottom w:val="single" w:sz="8" w:color="ACACAC"/>
            </w:tcBorders>
          </w:tcPr>
          <w:p>
            <w:pPr>
              <w:spacing w:after="0"/>
              <w:rPr>
                <w:sz w:val="2"/>
                <w:szCs w:val="2"/>
                <w:color w:val="auto"/>
              </w:rPr>
            </w:pPr>
          </w:p>
        </w:tc>
        <w:tc>
          <w:tcPr>
            <w:tcW w:w="1540" w:type="dxa"/>
            <w:vAlign w:val="bottom"/>
            <w:tcBorders>
              <w:bottom w:val="single" w:sz="8" w:color="ACACAC"/>
            </w:tcBorders>
          </w:tcPr>
          <w:p>
            <w:pPr>
              <w:spacing w:after="0"/>
              <w:rPr>
                <w:sz w:val="2"/>
                <w:szCs w:val="2"/>
                <w:color w:val="auto"/>
              </w:rPr>
            </w:pPr>
          </w:p>
        </w:tc>
        <w:tc>
          <w:tcPr>
            <w:tcW w:w="44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40" w:type="dxa"/>
            <w:vAlign w:val="bottom"/>
            <w:tcBorders>
              <w:bottom w:val="single" w:sz="8" w:color="ACACAC"/>
            </w:tcBorders>
          </w:tcPr>
          <w:p>
            <w:pPr>
              <w:spacing w:after="0"/>
              <w:rPr>
                <w:sz w:val="2"/>
                <w:szCs w:val="2"/>
                <w:color w:val="auto"/>
              </w:rPr>
            </w:pPr>
          </w:p>
        </w:tc>
        <w:tc>
          <w:tcPr>
            <w:tcW w:w="400" w:type="dxa"/>
            <w:vAlign w:val="bottom"/>
            <w:tcBorders>
              <w:bottom w:val="single" w:sz="8" w:color="ACACAC"/>
            </w:tcBorders>
          </w:tcPr>
          <w:p>
            <w:pPr>
              <w:spacing w:after="0"/>
              <w:rPr>
                <w:sz w:val="2"/>
                <w:szCs w:val="2"/>
                <w:color w:val="auto"/>
              </w:rPr>
            </w:pPr>
          </w:p>
        </w:tc>
        <w:tc>
          <w:tcPr>
            <w:tcW w:w="1040" w:type="dxa"/>
            <w:vAlign w:val="bottom"/>
            <w:tcBorders>
              <w:bottom w:val="single" w:sz="8" w:color="ACACAC"/>
            </w:tcBorders>
          </w:tcPr>
          <w:p>
            <w:pPr>
              <w:spacing w:after="0"/>
              <w:rPr>
                <w:sz w:val="2"/>
                <w:szCs w:val="2"/>
                <w:color w:val="auto"/>
              </w:rPr>
            </w:pPr>
          </w:p>
        </w:tc>
        <w:tc>
          <w:tcPr>
            <w:tcW w:w="2340" w:type="dxa"/>
            <w:vAlign w:val="bottom"/>
            <w:tcBorders>
              <w:bottom w:val="single" w:sz="8" w:color="ACACAC"/>
            </w:tcBorders>
          </w:tcPr>
          <w:p>
            <w:pPr>
              <w:spacing w:after="0"/>
              <w:rPr>
                <w:sz w:val="2"/>
                <w:szCs w:val="2"/>
                <w:color w:val="auto"/>
              </w:rPr>
            </w:pPr>
          </w:p>
        </w:tc>
        <w:tc>
          <w:tcPr>
            <w:tcW w:w="2960" w:type="dxa"/>
            <w:vAlign w:val="bottom"/>
            <w:tcBorders>
              <w:bottom w:val="single" w:sz="8" w:color="ACACAC"/>
            </w:tcBorders>
          </w:tcPr>
          <w:p>
            <w:pPr>
              <w:spacing w:after="0"/>
              <w:rPr>
                <w:sz w:val="2"/>
                <w:szCs w:val="2"/>
                <w:color w:val="auto"/>
              </w:rPr>
            </w:pPr>
          </w:p>
        </w:tc>
      </w:tr>
      <w:tr>
        <w:trPr>
          <w:trHeight w:val="217"/>
        </w:trPr>
        <w:tc>
          <w:tcPr>
            <w:tcW w:w="840" w:type="dxa"/>
            <w:vAlign w:val="bottom"/>
          </w:tcPr>
          <w:p>
            <w:pPr>
              <w:ind w:left="40"/>
              <w:spacing w:after="0"/>
              <w:rPr>
                <w:sz w:val="20"/>
                <w:szCs w:val="20"/>
                <w:color w:val="auto"/>
              </w:rPr>
            </w:pPr>
            <w:r>
              <w:rPr>
                <w:rFonts w:ascii="Arial" w:cs="Arial" w:eastAsia="Arial" w:hAnsi="Arial"/>
                <w:sz w:val="16"/>
                <w:szCs w:val="16"/>
                <w:color w:val="auto"/>
              </w:rPr>
              <w:t>101.PRE</w:t>
            </w:r>
          </w:p>
        </w:tc>
        <w:tc>
          <w:tcPr>
            <w:tcW w:w="7620" w:type="dxa"/>
            <w:vAlign w:val="bottom"/>
            <w:gridSpan w:val="8"/>
          </w:tcPr>
          <w:p>
            <w:pPr>
              <w:spacing w:after="0"/>
              <w:rPr>
                <w:sz w:val="20"/>
                <w:szCs w:val="20"/>
                <w:color w:val="auto"/>
              </w:rPr>
            </w:pPr>
            <w:r>
              <w:rPr>
                <w:rFonts w:ascii="Arial" w:cs="Arial" w:eastAsia="Arial" w:hAnsi="Arial"/>
                <w:sz w:val="16"/>
                <w:szCs w:val="16"/>
                <w:color w:val="auto"/>
              </w:rPr>
              <w:t>XBRL Taxonomy Extension Presentation Linkbase</w:t>
            </w:r>
          </w:p>
        </w:tc>
        <w:tc>
          <w:tcPr>
            <w:tcW w:w="2960" w:type="dxa"/>
            <w:vAlign w:val="bottom"/>
          </w:tcPr>
          <w:p>
            <w:pPr>
              <w:ind w:left="2340"/>
              <w:spacing w:after="0"/>
              <w:rPr>
                <w:sz w:val="20"/>
                <w:szCs w:val="20"/>
                <w:color w:val="auto"/>
              </w:rPr>
            </w:pPr>
            <w:r>
              <w:rPr>
                <w:rFonts w:ascii="Arial" w:cs="Arial" w:eastAsia="Arial" w:hAnsi="Arial"/>
                <w:sz w:val="16"/>
                <w:szCs w:val="16"/>
                <w:color w:val="auto"/>
              </w:rPr>
              <w:t>X</w:t>
            </w:r>
          </w:p>
        </w:tc>
      </w:tr>
      <w:tr>
        <w:trPr>
          <w:trHeight w:val="33"/>
        </w:trPr>
        <w:tc>
          <w:tcPr>
            <w:tcW w:w="840" w:type="dxa"/>
            <w:vAlign w:val="bottom"/>
            <w:tcBorders>
              <w:bottom w:val="single" w:sz="8" w:color="005BA5"/>
            </w:tcBorders>
          </w:tcPr>
          <w:p>
            <w:pPr>
              <w:spacing w:after="0"/>
              <w:rPr>
                <w:sz w:val="2"/>
                <w:szCs w:val="2"/>
                <w:color w:val="auto"/>
              </w:rPr>
            </w:pPr>
          </w:p>
        </w:tc>
        <w:tc>
          <w:tcPr>
            <w:tcW w:w="1780" w:type="dxa"/>
            <w:vAlign w:val="bottom"/>
            <w:tcBorders>
              <w:bottom w:val="single" w:sz="8" w:color="005BA5"/>
            </w:tcBorders>
          </w:tcPr>
          <w:p>
            <w:pPr>
              <w:spacing w:after="0"/>
              <w:rPr>
                <w:sz w:val="2"/>
                <w:szCs w:val="2"/>
                <w:color w:val="auto"/>
              </w:rPr>
            </w:pPr>
          </w:p>
        </w:tc>
        <w:tc>
          <w:tcPr>
            <w:tcW w:w="1540" w:type="dxa"/>
            <w:vAlign w:val="bottom"/>
            <w:tcBorders>
              <w:bottom w:val="single" w:sz="8" w:color="005BA5"/>
            </w:tcBorders>
          </w:tcPr>
          <w:p>
            <w:pPr>
              <w:spacing w:after="0"/>
              <w:rPr>
                <w:sz w:val="2"/>
                <w:szCs w:val="2"/>
                <w:color w:val="auto"/>
              </w:rPr>
            </w:pPr>
          </w:p>
        </w:tc>
        <w:tc>
          <w:tcPr>
            <w:tcW w:w="440" w:type="dxa"/>
            <w:vAlign w:val="bottom"/>
            <w:tcBorders>
              <w:bottom w:val="single" w:sz="8" w:color="005BA5"/>
            </w:tcBorders>
          </w:tcPr>
          <w:p>
            <w:pPr>
              <w:spacing w:after="0"/>
              <w:rPr>
                <w:sz w:val="2"/>
                <w:szCs w:val="2"/>
                <w:color w:val="auto"/>
              </w:rPr>
            </w:pPr>
          </w:p>
        </w:tc>
        <w:tc>
          <w:tcPr>
            <w:tcW w:w="40" w:type="dxa"/>
            <w:vAlign w:val="bottom"/>
            <w:tcBorders>
              <w:bottom w:val="single" w:sz="8" w:color="005BA5"/>
            </w:tcBorders>
          </w:tcPr>
          <w:p>
            <w:pPr>
              <w:spacing w:after="0"/>
              <w:rPr>
                <w:sz w:val="2"/>
                <w:szCs w:val="2"/>
                <w:color w:val="auto"/>
              </w:rPr>
            </w:pPr>
          </w:p>
        </w:tc>
        <w:tc>
          <w:tcPr>
            <w:tcW w:w="40" w:type="dxa"/>
            <w:vAlign w:val="bottom"/>
            <w:tcBorders>
              <w:bottom w:val="single" w:sz="8" w:color="005BA5"/>
            </w:tcBorders>
          </w:tcPr>
          <w:p>
            <w:pPr>
              <w:spacing w:after="0"/>
              <w:rPr>
                <w:sz w:val="2"/>
                <w:szCs w:val="2"/>
                <w:color w:val="auto"/>
              </w:rPr>
            </w:pPr>
          </w:p>
        </w:tc>
        <w:tc>
          <w:tcPr>
            <w:tcW w:w="400" w:type="dxa"/>
            <w:vAlign w:val="bottom"/>
            <w:tcBorders>
              <w:bottom w:val="single" w:sz="8" w:color="005BA5"/>
            </w:tcBorders>
          </w:tcPr>
          <w:p>
            <w:pPr>
              <w:spacing w:after="0"/>
              <w:rPr>
                <w:sz w:val="2"/>
                <w:szCs w:val="2"/>
                <w:color w:val="auto"/>
              </w:rPr>
            </w:pPr>
          </w:p>
        </w:tc>
        <w:tc>
          <w:tcPr>
            <w:tcW w:w="1040" w:type="dxa"/>
            <w:vAlign w:val="bottom"/>
            <w:tcBorders>
              <w:bottom w:val="single" w:sz="8" w:color="005BA5"/>
            </w:tcBorders>
          </w:tcPr>
          <w:p>
            <w:pPr>
              <w:spacing w:after="0"/>
              <w:rPr>
                <w:sz w:val="2"/>
                <w:szCs w:val="2"/>
                <w:color w:val="auto"/>
              </w:rPr>
            </w:pPr>
          </w:p>
        </w:tc>
        <w:tc>
          <w:tcPr>
            <w:tcW w:w="2340" w:type="dxa"/>
            <w:vAlign w:val="bottom"/>
            <w:tcBorders>
              <w:bottom w:val="single" w:sz="8" w:color="005BA5"/>
            </w:tcBorders>
          </w:tcPr>
          <w:p>
            <w:pPr>
              <w:spacing w:after="0"/>
              <w:rPr>
                <w:sz w:val="2"/>
                <w:szCs w:val="2"/>
                <w:color w:val="auto"/>
              </w:rPr>
            </w:pPr>
          </w:p>
        </w:tc>
        <w:tc>
          <w:tcPr>
            <w:tcW w:w="2960" w:type="dxa"/>
            <w:vAlign w:val="bottom"/>
            <w:tcBorders>
              <w:bottom w:val="single" w:sz="8" w:color="005BA5"/>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9060"/>
        <w:spacing w:after="0"/>
        <w:rPr>
          <w:sz w:val="20"/>
          <w:szCs w:val="20"/>
          <w:color w:val="auto"/>
        </w:rPr>
      </w:pPr>
      <w:r>
        <w:rPr>
          <w:rFonts w:ascii="Arial" w:cs="Arial" w:eastAsia="Arial" w:hAnsi="Arial"/>
          <w:sz w:val="16"/>
          <w:szCs w:val="16"/>
          <w:color w:val="auto"/>
        </w:rPr>
        <w:t xml:space="preserve">First Quarter 2019 Form 10-Q </w:t>
      </w:r>
      <w:r>
        <w:rPr>
          <w:rFonts w:ascii="Arial" w:cs="Arial" w:eastAsia="Arial" w:hAnsi="Arial"/>
          <w:sz w:val="16"/>
          <w:szCs w:val="16"/>
          <w:color w:val="1666AF"/>
        </w:rPr>
        <w:t>95</w:t>
      </w:r>
    </w:p>
    <w:p>
      <w:pPr>
        <w:sectPr>
          <w:pgSz w:w="11900" w:h="16838" w:orient="portrait"/>
          <w:cols w:equalWidth="0" w:num="1">
            <w:col w:w="11420"/>
          </w:cols>
          <w:pgMar w:left="240" w:top="141" w:right="239" w:bottom="1440" w:gutter="0" w:footer="0" w:header="0"/>
        </w:sectPr>
      </w:pPr>
    </w:p>
    <w:bookmarkStart w:id="99" w:name="page100"/>
    <w:bookmarkEnd w:id="99"/>
    <w:p>
      <w:pPr>
        <w:spacing w:after="0"/>
        <w:rPr>
          <w:sz w:val="20"/>
          <w:szCs w:val="20"/>
          <w:color w:val="auto"/>
        </w:rPr>
      </w:pPr>
      <w:r>
        <w:rPr>
          <w:rFonts w:ascii="Arial" w:cs="Arial" w:eastAsia="Arial" w:hAnsi="Arial"/>
          <w:sz w:val="20"/>
          <w:szCs w:val="20"/>
          <w:b w:val="1"/>
          <w:bCs w:val="1"/>
          <w:color w:val="1666AF"/>
        </w:rPr>
        <w:t>Signature</w:t>
      </w:r>
    </w:p>
    <w:p>
      <w:pPr>
        <w:spacing w:after="0" w:line="137" w:lineRule="exact"/>
        <w:rPr>
          <w:sz w:val="20"/>
          <w:szCs w:val="20"/>
          <w:color w:val="auto"/>
        </w:rPr>
      </w:pPr>
    </w:p>
    <w:p>
      <w:pPr>
        <w:ind w:firstLine="324"/>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The Allstate Corporation</w:t>
      </w:r>
    </w:p>
    <w:p>
      <w:pPr>
        <w:spacing w:after="0" w:line="59"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
        <w:spacing w:after="0"/>
        <w:tabs>
          <w:tab w:leader="none" w:pos="4700" w:val="left"/>
          <w:tab w:leader="none" w:pos="5260" w:val="left"/>
        </w:tabs>
        <w:rPr>
          <w:sz w:val="20"/>
          <w:szCs w:val="20"/>
          <w:color w:val="auto"/>
        </w:rPr>
      </w:pPr>
      <w:r>
        <w:rPr>
          <w:rFonts w:ascii="Arial" w:cs="Arial" w:eastAsia="Arial" w:hAnsi="Arial"/>
          <w:sz w:val="16"/>
          <w:szCs w:val="16"/>
          <w:color w:val="auto"/>
        </w:rPr>
        <w:t>May 1, 2019</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Eric K. Ferren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19050</wp:posOffset>
            </wp:positionV>
            <wp:extent cx="391033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Eric K. Ferren</w:t>
      </w:r>
    </w:p>
    <w:p>
      <w:pPr>
        <w:spacing w:after="0" w:line="7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Senior Vice President, Controller, and Chief Accounting Officer</w:t>
      </w:r>
    </w:p>
    <w:p>
      <w:pPr>
        <w:spacing w:after="0" w:line="24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(Authorized Signatory and Principal Accounting Officer)</w:t>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1666AF"/>
        </w:rPr>
        <w:t xml:space="preserve">96 </w:t>
      </w:r>
      <w:r>
        <w:rPr>
          <w:sz w:val="1"/>
          <w:szCs w:val="1"/>
          <w:color w:val="auto"/>
        </w:rPr>
        <w:drawing>
          <wp:inline distT="0" distB="0" distL="0" distR="0">
            <wp:extent cx="111760" cy="111760"/>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16"/>
          <w:szCs w:val="16"/>
          <w:color w:val="auto"/>
        </w:rPr>
        <w:t xml:space="preserve"> www.allstate.com</w:t>
      </w:r>
    </w:p>
    <w:p>
      <w:pPr>
        <w:sectPr>
          <w:pgSz w:w="11900" w:h="16838" w:orient="portrait"/>
          <w:cols w:equalWidth="0" w:num="1">
            <w:col w:w="10680"/>
          </w:cols>
          <w:pgMar w:left="240" w:top="355" w:right="97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414020</wp:posOffset>
            </wp:positionV>
            <wp:extent cx="892175" cy="66719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92175" cy="667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900"/>
        <w:spacing w:after="0"/>
        <w:rPr>
          <w:sz w:val="20"/>
          <w:szCs w:val="20"/>
          <w:color w:val="auto"/>
        </w:rPr>
      </w:pPr>
      <w:r>
        <w:rPr>
          <w:rFonts w:ascii="Arial" w:cs="Arial" w:eastAsia="Arial" w:hAnsi="Arial"/>
          <w:sz w:val="18"/>
          <w:szCs w:val="18"/>
          <w:color w:val="282324"/>
        </w:rPr>
        <w:t xml:space="preserve">February 16, </w:t>
      </w:r>
      <w:r>
        <w:rPr>
          <w:rFonts w:ascii="Arial" w:cs="Arial" w:eastAsia="Arial" w:hAnsi="Arial"/>
          <w:sz w:val="18"/>
          <w:szCs w:val="18"/>
          <w:color w:val="3A3838"/>
        </w:rPr>
        <w:t>2016</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color w:val="3A3838"/>
        </w:rPr>
        <w:t>Glenn Shapiro</w:t>
      </w:r>
    </w:p>
    <w:p>
      <w:pPr>
        <w:ind w:left="900"/>
        <w:spacing w:after="0" w:line="234" w:lineRule="auto"/>
        <w:rPr>
          <w:sz w:val="20"/>
          <w:szCs w:val="20"/>
          <w:color w:val="auto"/>
        </w:rPr>
      </w:pPr>
      <w:r>
        <w:rPr>
          <w:rFonts w:ascii="Arial" w:cs="Arial" w:eastAsia="Arial" w:hAnsi="Arial"/>
          <w:sz w:val="18"/>
          <w:szCs w:val="18"/>
          <w:color w:val="282324"/>
        </w:rPr>
        <w:t xml:space="preserve">1 </w:t>
      </w:r>
      <w:r>
        <w:rPr>
          <w:rFonts w:ascii="Arial" w:cs="Arial" w:eastAsia="Arial" w:hAnsi="Arial"/>
          <w:sz w:val="18"/>
          <w:szCs w:val="18"/>
          <w:color w:val="3A3838"/>
        </w:rPr>
        <w:t>Charles St. South #501</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282324"/>
        </w:rPr>
        <w:t>Boston, MA, 02116</w:t>
      </w:r>
    </w:p>
    <w:p>
      <w:pPr>
        <w:spacing w:after="0" w:line="252" w:lineRule="exact"/>
        <w:rPr>
          <w:sz w:val="20"/>
          <w:szCs w:val="20"/>
          <w:color w:val="auto"/>
        </w:rPr>
      </w:pPr>
    </w:p>
    <w:p>
      <w:pPr>
        <w:ind w:left="900"/>
        <w:spacing w:after="0"/>
        <w:rPr>
          <w:sz w:val="20"/>
          <w:szCs w:val="20"/>
          <w:color w:val="auto"/>
        </w:rPr>
      </w:pPr>
      <w:r>
        <w:rPr>
          <w:rFonts w:ascii="Arial" w:cs="Arial" w:eastAsia="Arial" w:hAnsi="Arial"/>
          <w:sz w:val="18"/>
          <w:szCs w:val="18"/>
          <w:color w:val="3A3838"/>
        </w:rPr>
        <w:t>Dear Glenn,</w:t>
      </w:r>
    </w:p>
    <w:p>
      <w:pPr>
        <w:spacing w:after="0" w:line="198" w:lineRule="exact"/>
        <w:rPr>
          <w:sz w:val="20"/>
          <w:szCs w:val="20"/>
          <w:color w:val="auto"/>
        </w:rPr>
      </w:pPr>
    </w:p>
    <w:p>
      <w:pPr>
        <w:ind w:left="900" w:right="40"/>
        <w:spacing w:after="0"/>
        <w:rPr>
          <w:sz w:val="20"/>
          <w:szCs w:val="20"/>
          <w:color w:val="auto"/>
        </w:rPr>
      </w:pPr>
      <w:r>
        <w:rPr>
          <w:rFonts w:ascii="Arial" w:cs="Arial" w:eastAsia="Arial" w:hAnsi="Arial"/>
          <w:sz w:val="18"/>
          <w:szCs w:val="18"/>
          <w:color w:val="3A3838"/>
        </w:rPr>
        <w:t xml:space="preserve">On </w:t>
      </w:r>
      <w:r>
        <w:rPr>
          <w:rFonts w:ascii="Arial" w:cs="Arial" w:eastAsia="Arial" w:hAnsi="Arial"/>
          <w:sz w:val="18"/>
          <w:szCs w:val="18"/>
          <w:color w:val="282324"/>
        </w:rPr>
        <w:t>behalf of the Allstate Insurance</w:t>
      </w:r>
      <w:r>
        <w:rPr>
          <w:rFonts w:ascii="Arial" w:cs="Arial" w:eastAsia="Arial" w:hAnsi="Arial"/>
          <w:sz w:val="18"/>
          <w:szCs w:val="18"/>
          <w:color w:val="3A3838"/>
        </w:rPr>
        <w:t xml:space="preserve"> Company, </w:t>
      </w:r>
      <w:r>
        <w:rPr>
          <w:rFonts w:ascii="Arial" w:cs="Arial" w:eastAsia="Arial" w:hAnsi="Arial"/>
          <w:sz w:val="18"/>
          <w:szCs w:val="18"/>
          <w:color w:val="282324"/>
        </w:rPr>
        <w:t>I</w:t>
      </w:r>
      <w:r>
        <w:rPr>
          <w:rFonts w:ascii="Arial" w:cs="Arial" w:eastAsia="Arial" w:hAnsi="Arial"/>
          <w:sz w:val="18"/>
          <w:szCs w:val="18"/>
          <w:color w:val="3A3838"/>
        </w:rPr>
        <w:t xml:space="preserve"> am </w:t>
      </w:r>
      <w:r>
        <w:rPr>
          <w:rFonts w:ascii="Arial" w:cs="Arial" w:eastAsia="Arial" w:hAnsi="Arial"/>
          <w:sz w:val="18"/>
          <w:szCs w:val="18"/>
          <w:color w:val="282324"/>
        </w:rPr>
        <w:t>pleased to</w:t>
      </w:r>
      <w:r>
        <w:rPr>
          <w:rFonts w:ascii="Arial" w:cs="Arial" w:eastAsia="Arial" w:hAnsi="Arial"/>
          <w:sz w:val="18"/>
          <w:szCs w:val="18"/>
          <w:color w:val="3A3838"/>
        </w:rPr>
        <w:t xml:space="preserve"> officially extend an </w:t>
      </w:r>
      <w:r>
        <w:rPr>
          <w:rFonts w:ascii="Arial" w:cs="Arial" w:eastAsia="Arial" w:hAnsi="Arial"/>
          <w:sz w:val="18"/>
          <w:szCs w:val="18"/>
          <w:color w:val="282324"/>
        </w:rPr>
        <w:t>offer for</w:t>
      </w:r>
      <w:r>
        <w:rPr>
          <w:rFonts w:ascii="Arial" w:cs="Arial" w:eastAsia="Arial" w:hAnsi="Arial"/>
          <w:sz w:val="18"/>
          <w:szCs w:val="18"/>
          <w:color w:val="3A3838"/>
        </w:rPr>
        <w:t xml:space="preserve"> you </w:t>
      </w:r>
      <w:r>
        <w:rPr>
          <w:rFonts w:ascii="Arial" w:cs="Arial" w:eastAsia="Arial" w:hAnsi="Arial"/>
          <w:sz w:val="18"/>
          <w:szCs w:val="18"/>
          <w:color w:val="282324"/>
        </w:rPr>
        <w:t>to join us</w:t>
      </w:r>
      <w:r>
        <w:rPr>
          <w:rFonts w:ascii="Arial" w:cs="Arial" w:eastAsia="Arial" w:hAnsi="Arial"/>
          <w:sz w:val="18"/>
          <w:szCs w:val="18"/>
          <w:color w:val="3A3838"/>
        </w:rPr>
        <w:t xml:space="preserve"> as </w:t>
      </w:r>
      <w:r>
        <w:rPr>
          <w:rFonts w:ascii="Arial" w:cs="Arial" w:eastAsia="Arial" w:hAnsi="Arial"/>
          <w:sz w:val="18"/>
          <w:szCs w:val="18"/>
          <w:color w:val="282324"/>
        </w:rPr>
        <w:t>Executive</w:t>
      </w:r>
      <w:r>
        <w:rPr>
          <w:rFonts w:ascii="Arial" w:cs="Arial" w:eastAsia="Arial" w:hAnsi="Arial"/>
          <w:sz w:val="18"/>
          <w:szCs w:val="18"/>
          <w:color w:val="3A3838"/>
        </w:rPr>
        <w:t xml:space="preserve"> </w:t>
      </w:r>
      <w:r>
        <w:rPr>
          <w:rFonts w:ascii="Arial" w:cs="Arial" w:eastAsia="Arial" w:hAnsi="Arial"/>
          <w:sz w:val="18"/>
          <w:szCs w:val="18"/>
          <w:color w:val="282324"/>
        </w:rPr>
        <w:t xml:space="preserve">Vice </w:t>
      </w:r>
      <w:r>
        <w:rPr>
          <w:rFonts w:ascii="Arial" w:cs="Arial" w:eastAsia="Arial" w:hAnsi="Arial"/>
          <w:sz w:val="18"/>
          <w:szCs w:val="18"/>
          <w:color w:val="3A3838"/>
        </w:rPr>
        <w:t>President, Claims.</w:t>
      </w:r>
      <w:r>
        <w:rPr>
          <w:rFonts w:ascii="Arial" w:cs="Arial" w:eastAsia="Arial" w:hAnsi="Arial"/>
          <w:sz w:val="18"/>
          <w:szCs w:val="18"/>
          <w:color w:val="282324"/>
        </w:rPr>
        <w:t xml:space="preserve"> We </w:t>
      </w:r>
      <w:r>
        <w:rPr>
          <w:rFonts w:ascii="Arial" w:cs="Arial" w:eastAsia="Arial" w:hAnsi="Arial"/>
          <w:sz w:val="18"/>
          <w:szCs w:val="18"/>
          <w:color w:val="3A3838"/>
        </w:rPr>
        <w:t>are excited</w:t>
      </w:r>
      <w:r>
        <w:rPr>
          <w:rFonts w:ascii="Arial" w:cs="Arial" w:eastAsia="Arial" w:hAnsi="Arial"/>
          <w:sz w:val="18"/>
          <w:szCs w:val="18"/>
          <w:color w:val="282324"/>
        </w:rPr>
        <w:t xml:space="preserve"> about </w:t>
      </w:r>
      <w:r>
        <w:rPr>
          <w:rFonts w:ascii="Arial" w:cs="Arial" w:eastAsia="Arial" w:hAnsi="Arial"/>
          <w:sz w:val="18"/>
          <w:szCs w:val="18"/>
          <w:color w:val="3A3838"/>
        </w:rPr>
        <w:t>your</w:t>
      </w:r>
      <w:r>
        <w:rPr>
          <w:rFonts w:ascii="Arial" w:cs="Arial" w:eastAsia="Arial" w:hAnsi="Arial"/>
          <w:sz w:val="18"/>
          <w:szCs w:val="18"/>
          <w:color w:val="282324"/>
        </w:rPr>
        <w:t xml:space="preserve"> decision to join the </w:t>
      </w:r>
      <w:r>
        <w:rPr>
          <w:rFonts w:ascii="Arial" w:cs="Arial" w:eastAsia="Arial" w:hAnsi="Arial"/>
          <w:sz w:val="18"/>
          <w:szCs w:val="18"/>
          <w:color w:val="3A3838"/>
        </w:rPr>
        <w:t>Allstate</w:t>
      </w:r>
      <w:r>
        <w:rPr>
          <w:rFonts w:ascii="Arial" w:cs="Arial" w:eastAsia="Arial" w:hAnsi="Arial"/>
          <w:sz w:val="18"/>
          <w:szCs w:val="18"/>
          <w:color w:val="282324"/>
        </w:rPr>
        <w:t xml:space="preserve"> team and </w:t>
      </w:r>
      <w:r>
        <w:rPr>
          <w:rFonts w:ascii="Arial" w:cs="Arial" w:eastAsia="Arial" w:hAnsi="Arial"/>
          <w:sz w:val="18"/>
          <w:szCs w:val="18"/>
          <w:color w:val="3A3838"/>
        </w:rPr>
        <w:t>are confident</w:t>
      </w:r>
      <w:r>
        <w:rPr>
          <w:rFonts w:ascii="Arial" w:cs="Arial" w:eastAsia="Arial" w:hAnsi="Arial"/>
          <w:sz w:val="18"/>
          <w:szCs w:val="18"/>
          <w:color w:val="282324"/>
        </w:rPr>
        <w:t xml:space="preserve"> that </w:t>
      </w:r>
      <w:r>
        <w:rPr>
          <w:rFonts w:ascii="Arial" w:cs="Arial" w:eastAsia="Arial" w:hAnsi="Arial"/>
          <w:sz w:val="18"/>
          <w:szCs w:val="18"/>
          <w:color w:val="3A3838"/>
        </w:rPr>
        <w:t>your</w:t>
      </w:r>
      <w:r>
        <w:rPr>
          <w:rFonts w:ascii="Arial" w:cs="Arial" w:eastAsia="Arial" w:hAnsi="Arial"/>
          <w:sz w:val="18"/>
          <w:szCs w:val="18"/>
          <w:color w:val="282324"/>
        </w:rPr>
        <w:t xml:space="preserve"> </w:t>
      </w:r>
      <w:r>
        <w:rPr>
          <w:rFonts w:ascii="Arial" w:cs="Arial" w:eastAsia="Arial" w:hAnsi="Arial"/>
          <w:sz w:val="18"/>
          <w:szCs w:val="18"/>
          <w:color w:val="3A3838"/>
        </w:rPr>
        <w:t xml:space="preserve">career with us will </w:t>
      </w:r>
      <w:r>
        <w:rPr>
          <w:rFonts w:ascii="Arial" w:cs="Arial" w:eastAsia="Arial" w:hAnsi="Arial"/>
          <w:sz w:val="18"/>
          <w:szCs w:val="18"/>
          <w:color w:val="282324"/>
        </w:rPr>
        <w:t>be</w:t>
      </w:r>
      <w:r>
        <w:rPr>
          <w:rFonts w:ascii="Arial" w:cs="Arial" w:eastAsia="Arial" w:hAnsi="Arial"/>
          <w:sz w:val="18"/>
          <w:szCs w:val="18"/>
          <w:color w:val="3A3838"/>
        </w:rPr>
        <w:t xml:space="preserve"> exciting and </w:t>
      </w:r>
      <w:r>
        <w:rPr>
          <w:rFonts w:ascii="Arial" w:cs="Arial" w:eastAsia="Arial" w:hAnsi="Arial"/>
          <w:sz w:val="18"/>
          <w:szCs w:val="18"/>
          <w:color w:val="282324"/>
        </w:rPr>
        <w:t>rewarding.</w:t>
      </w:r>
    </w:p>
    <w:p>
      <w:pPr>
        <w:spacing w:after="0" w:line="189" w:lineRule="exact"/>
        <w:rPr>
          <w:sz w:val="20"/>
          <w:szCs w:val="20"/>
          <w:color w:val="auto"/>
        </w:rPr>
      </w:pPr>
    </w:p>
    <w:p>
      <w:pPr>
        <w:ind w:left="900" w:right="60"/>
        <w:spacing w:after="0" w:line="239" w:lineRule="auto"/>
        <w:rPr>
          <w:sz w:val="20"/>
          <w:szCs w:val="20"/>
          <w:color w:val="auto"/>
        </w:rPr>
      </w:pPr>
      <w:r>
        <w:rPr>
          <w:rFonts w:ascii="Arial" w:cs="Arial" w:eastAsia="Arial" w:hAnsi="Arial"/>
          <w:sz w:val="18"/>
          <w:szCs w:val="18"/>
          <w:color w:val="3A3838"/>
        </w:rPr>
        <w:t xml:space="preserve">The </w:t>
      </w:r>
      <w:r>
        <w:rPr>
          <w:rFonts w:ascii="Arial" w:cs="Arial" w:eastAsia="Arial" w:hAnsi="Arial"/>
          <w:sz w:val="18"/>
          <w:szCs w:val="18"/>
          <w:color w:val="282324"/>
        </w:rPr>
        <w:t>terms and</w:t>
      </w:r>
      <w:r>
        <w:rPr>
          <w:rFonts w:ascii="Arial" w:cs="Arial" w:eastAsia="Arial" w:hAnsi="Arial"/>
          <w:sz w:val="18"/>
          <w:szCs w:val="18"/>
          <w:color w:val="3A3838"/>
        </w:rPr>
        <w:t xml:space="preserve"> conditions </w:t>
      </w:r>
      <w:r>
        <w:rPr>
          <w:rFonts w:ascii="Arial" w:cs="Arial" w:eastAsia="Arial" w:hAnsi="Arial"/>
          <w:sz w:val="18"/>
          <w:szCs w:val="18"/>
          <w:color w:val="282324"/>
        </w:rPr>
        <w:t>of this</w:t>
      </w:r>
      <w:r>
        <w:rPr>
          <w:rFonts w:ascii="Arial" w:cs="Arial" w:eastAsia="Arial" w:hAnsi="Arial"/>
          <w:sz w:val="18"/>
          <w:szCs w:val="18"/>
          <w:color w:val="3A3838"/>
        </w:rPr>
        <w:t xml:space="preserve"> offer are briefly outlined </w:t>
      </w:r>
      <w:r>
        <w:rPr>
          <w:rFonts w:ascii="Arial" w:cs="Arial" w:eastAsia="Arial" w:hAnsi="Arial"/>
          <w:sz w:val="18"/>
          <w:szCs w:val="18"/>
          <w:color w:val="282324"/>
        </w:rPr>
        <w:t>below.</w:t>
      </w:r>
      <w:r>
        <w:rPr>
          <w:rFonts w:ascii="Arial" w:cs="Arial" w:eastAsia="Arial" w:hAnsi="Arial"/>
          <w:sz w:val="18"/>
          <w:szCs w:val="18"/>
          <w:color w:val="3A3838"/>
        </w:rPr>
        <w:t xml:space="preserve"> As a </w:t>
      </w:r>
      <w:r>
        <w:rPr>
          <w:rFonts w:ascii="Arial" w:cs="Arial" w:eastAsia="Arial" w:hAnsi="Arial"/>
          <w:sz w:val="18"/>
          <w:szCs w:val="18"/>
          <w:color w:val="282324"/>
        </w:rPr>
        <w:t>condition</w:t>
      </w:r>
      <w:r>
        <w:rPr>
          <w:rFonts w:ascii="Arial" w:cs="Arial" w:eastAsia="Arial" w:hAnsi="Arial"/>
          <w:sz w:val="18"/>
          <w:szCs w:val="18"/>
          <w:color w:val="3A3838"/>
        </w:rPr>
        <w:t xml:space="preserve"> of your employment with </w:t>
      </w:r>
      <w:r>
        <w:rPr>
          <w:rFonts w:ascii="Arial" w:cs="Arial" w:eastAsia="Arial" w:hAnsi="Arial"/>
          <w:sz w:val="18"/>
          <w:szCs w:val="18"/>
          <w:color w:val="282324"/>
        </w:rPr>
        <w:t>Allstate, you</w:t>
      </w:r>
      <w:r>
        <w:rPr>
          <w:rFonts w:ascii="Arial" w:cs="Arial" w:eastAsia="Arial" w:hAnsi="Arial"/>
          <w:sz w:val="18"/>
          <w:szCs w:val="18"/>
          <w:color w:val="3A3838"/>
        </w:rPr>
        <w:t xml:space="preserve"> are </w:t>
      </w:r>
      <w:r>
        <w:rPr>
          <w:rFonts w:ascii="Arial" w:cs="Arial" w:eastAsia="Arial" w:hAnsi="Arial"/>
          <w:sz w:val="18"/>
          <w:szCs w:val="18"/>
          <w:color w:val="282324"/>
        </w:rPr>
        <w:t>required to</w:t>
      </w:r>
      <w:r>
        <w:rPr>
          <w:rFonts w:ascii="Arial" w:cs="Arial" w:eastAsia="Arial" w:hAnsi="Arial"/>
          <w:sz w:val="18"/>
          <w:szCs w:val="18"/>
          <w:color w:val="3A3838"/>
        </w:rPr>
        <w:t xml:space="preserve"> sign </w:t>
      </w:r>
      <w:r>
        <w:rPr>
          <w:rFonts w:ascii="Arial" w:cs="Arial" w:eastAsia="Arial" w:hAnsi="Arial"/>
          <w:sz w:val="18"/>
          <w:szCs w:val="18"/>
          <w:color w:val="282324"/>
        </w:rPr>
        <w:t>and</w:t>
      </w:r>
      <w:r>
        <w:rPr>
          <w:rFonts w:ascii="Arial" w:cs="Arial" w:eastAsia="Arial" w:hAnsi="Arial"/>
          <w:sz w:val="18"/>
          <w:szCs w:val="18"/>
          <w:color w:val="3A3838"/>
        </w:rPr>
        <w:t xml:space="preserve"> agree </w:t>
      </w:r>
      <w:r>
        <w:rPr>
          <w:rFonts w:ascii="Arial" w:cs="Arial" w:eastAsia="Arial" w:hAnsi="Arial"/>
          <w:sz w:val="18"/>
          <w:szCs w:val="18"/>
          <w:color w:val="282324"/>
        </w:rPr>
        <w:t>to the terms of the Intellectual</w:t>
      </w:r>
      <w:r>
        <w:rPr>
          <w:rFonts w:ascii="Arial" w:cs="Arial" w:eastAsia="Arial" w:hAnsi="Arial"/>
          <w:sz w:val="18"/>
          <w:szCs w:val="18"/>
          <w:color w:val="3A3838"/>
        </w:rPr>
        <w:t xml:space="preserve"> Property </w:t>
      </w:r>
      <w:r>
        <w:rPr>
          <w:rFonts w:ascii="Arial" w:cs="Arial" w:eastAsia="Arial" w:hAnsi="Arial"/>
          <w:sz w:val="18"/>
          <w:szCs w:val="18"/>
          <w:color w:val="282324"/>
        </w:rPr>
        <w:t>Assignment Agreement. The terms of the</w:t>
      </w:r>
      <w:r>
        <w:rPr>
          <w:rFonts w:ascii="Arial" w:cs="Arial" w:eastAsia="Arial" w:hAnsi="Arial"/>
          <w:sz w:val="18"/>
          <w:szCs w:val="18"/>
          <w:color w:val="3A3838"/>
        </w:rPr>
        <w:t xml:space="preserve"> </w:t>
      </w:r>
      <w:r>
        <w:rPr>
          <w:rFonts w:ascii="Arial" w:cs="Arial" w:eastAsia="Arial" w:hAnsi="Arial"/>
          <w:sz w:val="18"/>
          <w:szCs w:val="18"/>
          <w:color w:val="282324"/>
        </w:rPr>
        <w:t xml:space="preserve">Intellectual Property </w:t>
      </w:r>
      <w:r>
        <w:rPr>
          <w:rFonts w:ascii="Arial" w:cs="Arial" w:eastAsia="Arial" w:hAnsi="Arial"/>
          <w:sz w:val="18"/>
          <w:szCs w:val="18"/>
          <w:color w:val="3A3838"/>
        </w:rPr>
        <w:t>Assignment Agreement</w:t>
      </w:r>
      <w:r>
        <w:rPr>
          <w:rFonts w:ascii="Arial" w:cs="Arial" w:eastAsia="Arial" w:hAnsi="Arial"/>
          <w:sz w:val="18"/>
          <w:szCs w:val="18"/>
          <w:color w:val="282324"/>
        </w:rPr>
        <w:t xml:space="preserve"> is </w:t>
      </w:r>
      <w:r>
        <w:rPr>
          <w:rFonts w:ascii="Arial" w:cs="Arial" w:eastAsia="Arial" w:hAnsi="Arial"/>
          <w:sz w:val="18"/>
          <w:szCs w:val="18"/>
          <w:color w:val="3A3838"/>
        </w:rPr>
        <w:t>provided</w:t>
      </w:r>
      <w:r>
        <w:rPr>
          <w:rFonts w:ascii="Arial" w:cs="Arial" w:eastAsia="Arial" w:hAnsi="Arial"/>
          <w:sz w:val="18"/>
          <w:szCs w:val="18"/>
          <w:color w:val="282324"/>
        </w:rPr>
        <w:t xml:space="preserve"> to you </w:t>
      </w:r>
      <w:r>
        <w:rPr>
          <w:rFonts w:ascii="Arial" w:cs="Arial" w:eastAsia="Arial" w:hAnsi="Arial"/>
          <w:sz w:val="18"/>
          <w:szCs w:val="18"/>
          <w:color w:val="3A3838"/>
        </w:rPr>
        <w:t>in</w:t>
      </w:r>
      <w:r>
        <w:rPr>
          <w:rFonts w:ascii="Arial" w:cs="Arial" w:eastAsia="Arial" w:hAnsi="Arial"/>
          <w:sz w:val="18"/>
          <w:szCs w:val="18"/>
          <w:color w:val="282324"/>
        </w:rPr>
        <w:t xml:space="preserve"> this </w:t>
      </w:r>
      <w:r>
        <w:rPr>
          <w:rFonts w:ascii="Arial" w:cs="Arial" w:eastAsia="Arial" w:hAnsi="Arial"/>
          <w:sz w:val="18"/>
          <w:szCs w:val="18"/>
          <w:color w:val="3A3838"/>
        </w:rPr>
        <w:t>package</w:t>
      </w:r>
      <w:r>
        <w:rPr>
          <w:rFonts w:ascii="Arial" w:cs="Arial" w:eastAsia="Arial" w:hAnsi="Arial"/>
          <w:sz w:val="18"/>
          <w:szCs w:val="18"/>
          <w:color w:val="282324"/>
        </w:rPr>
        <w:t xml:space="preserve"> along with your </w:t>
      </w:r>
      <w:r>
        <w:rPr>
          <w:rFonts w:ascii="Arial" w:cs="Arial" w:eastAsia="Arial" w:hAnsi="Arial"/>
          <w:sz w:val="18"/>
          <w:szCs w:val="18"/>
          <w:color w:val="3A3838"/>
        </w:rPr>
        <w:t>offer</w:t>
      </w:r>
      <w:r>
        <w:rPr>
          <w:rFonts w:ascii="Arial" w:cs="Arial" w:eastAsia="Arial" w:hAnsi="Arial"/>
          <w:sz w:val="18"/>
          <w:szCs w:val="18"/>
          <w:color w:val="282324"/>
        </w:rPr>
        <w:t xml:space="preserve"> letter. Please </w:t>
      </w:r>
      <w:r>
        <w:rPr>
          <w:rFonts w:ascii="Arial" w:cs="Arial" w:eastAsia="Arial" w:hAnsi="Arial"/>
          <w:sz w:val="18"/>
          <w:szCs w:val="18"/>
          <w:color w:val="3A3838"/>
        </w:rPr>
        <w:t xml:space="preserve">sign </w:t>
      </w:r>
      <w:r>
        <w:rPr>
          <w:rFonts w:ascii="Arial" w:cs="Arial" w:eastAsia="Arial" w:hAnsi="Arial"/>
          <w:sz w:val="18"/>
          <w:szCs w:val="18"/>
          <w:color w:val="282324"/>
        </w:rPr>
        <w:t>and</w:t>
      </w:r>
      <w:r>
        <w:rPr>
          <w:rFonts w:ascii="Arial" w:cs="Arial" w:eastAsia="Arial" w:hAnsi="Arial"/>
          <w:sz w:val="18"/>
          <w:szCs w:val="18"/>
          <w:color w:val="3A3838"/>
        </w:rPr>
        <w:t xml:space="preserve"> return with </w:t>
      </w:r>
      <w:r>
        <w:rPr>
          <w:rFonts w:ascii="Arial" w:cs="Arial" w:eastAsia="Arial" w:hAnsi="Arial"/>
          <w:sz w:val="18"/>
          <w:szCs w:val="18"/>
          <w:color w:val="282324"/>
        </w:rPr>
        <w:t>your signed offer letter.</w:t>
      </w:r>
    </w:p>
    <w:p>
      <w:pPr>
        <w:spacing w:after="0" w:line="16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282324"/>
        </w:rPr>
        <w:t>Base Salary:</w:t>
      </w:r>
    </w:p>
    <w:p>
      <w:pPr>
        <w:spacing w:after="0" w:line="220" w:lineRule="exact"/>
        <w:rPr>
          <w:sz w:val="20"/>
          <w:szCs w:val="20"/>
          <w:color w:val="auto"/>
        </w:rPr>
      </w:pPr>
    </w:p>
    <w:p>
      <w:pPr>
        <w:ind w:left="900" w:right="180"/>
        <w:spacing w:after="0"/>
        <w:rPr>
          <w:sz w:val="20"/>
          <w:szCs w:val="20"/>
          <w:color w:val="auto"/>
        </w:rPr>
      </w:pPr>
      <w:r>
        <w:rPr>
          <w:rFonts w:ascii="Arial" w:cs="Arial" w:eastAsia="Arial" w:hAnsi="Arial"/>
          <w:sz w:val="18"/>
          <w:szCs w:val="18"/>
          <w:color w:val="3A3838"/>
        </w:rPr>
        <w:t xml:space="preserve">Your </w:t>
      </w:r>
      <w:r>
        <w:rPr>
          <w:rFonts w:ascii="Arial" w:cs="Arial" w:eastAsia="Arial" w:hAnsi="Arial"/>
          <w:sz w:val="18"/>
          <w:szCs w:val="18"/>
          <w:color w:val="282324"/>
        </w:rPr>
        <w:t>annualized base</w:t>
      </w:r>
      <w:r>
        <w:rPr>
          <w:rFonts w:ascii="Arial" w:cs="Arial" w:eastAsia="Arial" w:hAnsi="Arial"/>
          <w:sz w:val="18"/>
          <w:szCs w:val="18"/>
          <w:color w:val="3A3838"/>
        </w:rPr>
        <w:t xml:space="preserve"> salary will </w:t>
      </w:r>
      <w:r>
        <w:rPr>
          <w:rFonts w:ascii="Arial" w:cs="Arial" w:eastAsia="Arial" w:hAnsi="Arial"/>
          <w:sz w:val="18"/>
          <w:szCs w:val="18"/>
          <w:color w:val="282324"/>
        </w:rPr>
        <w:t>be</w:t>
      </w:r>
      <w:r>
        <w:rPr>
          <w:rFonts w:ascii="Arial" w:cs="Arial" w:eastAsia="Arial" w:hAnsi="Arial"/>
          <w:sz w:val="18"/>
          <w:szCs w:val="18"/>
          <w:color w:val="3A3838"/>
        </w:rPr>
        <w:t xml:space="preserve"> $500,000 </w:t>
      </w:r>
      <w:r>
        <w:rPr>
          <w:rFonts w:ascii="Arial" w:cs="Arial" w:eastAsia="Arial" w:hAnsi="Arial"/>
          <w:sz w:val="18"/>
          <w:szCs w:val="18"/>
          <w:color w:val="282324"/>
        </w:rPr>
        <w:t>and</w:t>
      </w:r>
      <w:r>
        <w:rPr>
          <w:rFonts w:ascii="Arial" w:cs="Arial" w:eastAsia="Arial" w:hAnsi="Arial"/>
          <w:sz w:val="18"/>
          <w:szCs w:val="18"/>
          <w:color w:val="3A3838"/>
        </w:rPr>
        <w:t xml:space="preserve"> $19,230.77 </w:t>
      </w:r>
      <w:r>
        <w:rPr>
          <w:rFonts w:ascii="Arial" w:cs="Arial" w:eastAsia="Arial" w:hAnsi="Arial"/>
          <w:sz w:val="18"/>
          <w:szCs w:val="18"/>
          <w:color w:val="282324"/>
        </w:rPr>
        <w:t>will be paid bi-weekly.</w:t>
      </w:r>
      <w:r>
        <w:rPr>
          <w:rFonts w:ascii="Arial" w:cs="Arial" w:eastAsia="Arial" w:hAnsi="Arial"/>
          <w:sz w:val="18"/>
          <w:szCs w:val="18"/>
          <w:color w:val="3A3838"/>
        </w:rPr>
        <w:t xml:space="preserve"> Subsequent </w:t>
      </w:r>
      <w:r>
        <w:rPr>
          <w:rFonts w:ascii="Arial" w:cs="Arial" w:eastAsia="Arial" w:hAnsi="Arial"/>
          <w:sz w:val="18"/>
          <w:szCs w:val="18"/>
          <w:color w:val="282324"/>
        </w:rPr>
        <w:t>increases in base</w:t>
      </w:r>
      <w:r>
        <w:rPr>
          <w:rFonts w:ascii="Arial" w:cs="Arial" w:eastAsia="Arial" w:hAnsi="Arial"/>
          <w:sz w:val="18"/>
          <w:szCs w:val="18"/>
          <w:color w:val="3A3838"/>
        </w:rPr>
        <w:t xml:space="preserve"> salary, </w:t>
      </w:r>
      <w:r>
        <w:rPr>
          <w:rFonts w:ascii="Arial" w:cs="Arial" w:eastAsia="Arial" w:hAnsi="Arial"/>
          <w:sz w:val="18"/>
          <w:szCs w:val="18"/>
          <w:color w:val="282324"/>
        </w:rPr>
        <w:t>generally awarded</w:t>
      </w:r>
      <w:r>
        <w:rPr>
          <w:rFonts w:ascii="Arial" w:cs="Arial" w:eastAsia="Arial" w:hAnsi="Arial"/>
          <w:sz w:val="18"/>
          <w:szCs w:val="18"/>
          <w:color w:val="3A3838"/>
        </w:rPr>
        <w:t xml:space="preserve"> on an annual basis </w:t>
      </w:r>
      <w:r>
        <w:rPr>
          <w:rFonts w:ascii="Arial" w:cs="Arial" w:eastAsia="Arial" w:hAnsi="Arial"/>
          <w:sz w:val="18"/>
          <w:szCs w:val="18"/>
          <w:color w:val="282324"/>
        </w:rPr>
        <w:t>in March, will be dependent</w:t>
      </w:r>
      <w:r>
        <w:rPr>
          <w:rFonts w:ascii="Arial" w:cs="Arial" w:eastAsia="Arial" w:hAnsi="Arial"/>
          <w:sz w:val="18"/>
          <w:szCs w:val="18"/>
          <w:color w:val="3A3838"/>
        </w:rPr>
        <w:t xml:space="preserve"> on enterprise-wide guidelines </w:t>
      </w:r>
      <w:r>
        <w:rPr>
          <w:rFonts w:ascii="Arial" w:cs="Arial" w:eastAsia="Arial" w:hAnsi="Arial"/>
          <w:sz w:val="18"/>
          <w:szCs w:val="18"/>
          <w:color w:val="282324"/>
        </w:rPr>
        <w:t>and</w:t>
      </w:r>
      <w:r>
        <w:rPr>
          <w:rFonts w:ascii="Arial" w:cs="Arial" w:eastAsia="Arial" w:hAnsi="Arial"/>
          <w:sz w:val="18"/>
          <w:szCs w:val="18"/>
          <w:color w:val="3A3838"/>
        </w:rPr>
        <w:t xml:space="preserve"> your </w:t>
      </w:r>
      <w:r>
        <w:rPr>
          <w:rFonts w:ascii="Arial" w:cs="Arial" w:eastAsia="Arial" w:hAnsi="Arial"/>
          <w:sz w:val="18"/>
          <w:szCs w:val="18"/>
          <w:color w:val="282324"/>
        </w:rPr>
        <w:t>performance</w:t>
      </w:r>
      <w:r>
        <w:rPr>
          <w:rFonts w:ascii="Arial" w:cs="Arial" w:eastAsia="Arial" w:hAnsi="Arial"/>
          <w:sz w:val="18"/>
          <w:szCs w:val="18"/>
          <w:color w:val="594F50"/>
        </w:rPr>
        <w:t>.</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282324"/>
        </w:rPr>
        <w:t>Cash and Equity Incentive Compensation:</w:t>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282324"/>
        </w:rPr>
        <w:t>Cash:</w:t>
      </w:r>
    </w:p>
    <w:p>
      <w:pPr>
        <w:spacing w:after="0" w:line="18" w:lineRule="exact"/>
        <w:rPr>
          <w:sz w:val="20"/>
          <w:szCs w:val="20"/>
          <w:color w:val="auto"/>
        </w:rPr>
      </w:pPr>
    </w:p>
    <w:p>
      <w:pPr>
        <w:ind w:left="900" w:right="80"/>
        <w:spacing w:after="0" w:line="238" w:lineRule="auto"/>
        <w:rPr>
          <w:sz w:val="20"/>
          <w:szCs w:val="20"/>
          <w:color w:val="auto"/>
        </w:rPr>
      </w:pPr>
      <w:r>
        <w:rPr>
          <w:rFonts w:ascii="Arial" w:cs="Arial" w:eastAsia="Arial" w:hAnsi="Arial"/>
          <w:sz w:val="18"/>
          <w:szCs w:val="18"/>
          <w:color w:val="3A3838"/>
        </w:rPr>
        <w:t xml:space="preserve">You </w:t>
      </w:r>
      <w:r>
        <w:rPr>
          <w:rFonts w:ascii="Arial" w:cs="Arial" w:eastAsia="Arial" w:hAnsi="Arial"/>
          <w:sz w:val="18"/>
          <w:szCs w:val="18"/>
          <w:color w:val="282324"/>
        </w:rPr>
        <w:t>will be eligible to participate in the Annual Incentive Plan</w:t>
      </w:r>
      <w:r>
        <w:rPr>
          <w:rFonts w:ascii="Arial" w:cs="Arial" w:eastAsia="Arial" w:hAnsi="Arial"/>
          <w:sz w:val="18"/>
          <w:szCs w:val="18"/>
          <w:color w:val="3A3838"/>
        </w:rPr>
        <w:t xml:space="preserve"> (AIP) </w:t>
      </w:r>
      <w:r>
        <w:rPr>
          <w:rFonts w:ascii="Arial" w:cs="Arial" w:eastAsia="Arial" w:hAnsi="Arial"/>
          <w:sz w:val="18"/>
          <w:szCs w:val="18"/>
          <w:color w:val="282324"/>
        </w:rPr>
        <w:t>starting in</w:t>
      </w:r>
      <w:r>
        <w:rPr>
          <w:rFonts w:ascii="Arial" w:cs="Arial" w:eastAsia="Arial" w:hAnsi="Arial"/>
          <w:sz w:val="18"/>
          <w:szCs w:val="18"/>
          <w:color w:val="3A3838"/>
        </w:rPr>
        <w:t xml:space="preserve"> 2017. Your </w:t>
      </w:r>
      <w:r>
        <w:rPr>
          <w:rFonts w:ascii="Arial" w:cs="Arial" w:eastAsia="Arial" w:hAnsi="Arial"/>
          <w:sz w:val="18"/>
          <w:szCs w:val="18"/>
          <w:color w:val="282324"/>
        </w:rPr>
        <w:t>target</w:t>
      </w:r>
      <w:r>
        <w:rPr>
          <w:rFonts w:ascii="Arial" w:cs="Arial" w:eastAsia="Arial" w:hAnsi="Arial"/>
          <w:sz w:val="18"/>
          <w:szCs w:val="18"/>
          <w:color w:val="3A3838"/>
        </w:rPr>
        <w:t xml:space="preserve"> incentive </w:t>
      </w:r>
      <w:r>
        <w:rPr>
          <w:rFonts w:ascii="Arial" w:cs="Arial" w:eastAsia="Arial" w:hAnsi="Arial"/>
          <w:sz w:val="18"/>
          <w:szCs w:val="18"/>
          <w:color w:val="282324"/>
        </w:rPr>
        <w:t>opportunity</w:t>
      </w:r>
      <w:r>
        <w:rPr>
          <w:rFonts w:ascii="Arial" w:cs="Arial" w:eastAsia="Arial" w:hAnsi="Arial"/>
          <w:sz w:val="18"/>
          <w:szCs w:val="18"/>
          <w:color w:val="3A3838"/>
        </w:rPr>
        <w:t xml:space="preserve"> </w:t>
      </w:r>
      <w:r>
        <w:rPr>
          <w:rFonts w:ascii="Arial" w:cs="Arial" w:eastAsia="Arial" w:hAnsi="Arial"/>
          <w:sz w:val="18"/>
          <w:szCs w:val="18"/>
          <w:color w:val="282324"/>
        </w:rPr>
        <w:t xml:space="preserve">is </w:t>
      </w:r>
      <w:r>
        <w:rPr>
          <w:rFonts w:ascii="Arial" w:cs="Arial" w:eastAsia="Arial" w:hAnsi="Arial"/>
          <w:sz w:val="18"/>
          <w:szCs w:val="18"/>
          <w:color w:val="3A3838"/>
        </w:rPr>
        <w:t>90%</w:t>
      </w:r>
      <w:r>
        <w:rPr>
          <w:rFonts w:ascii="Arial" w:cs="Arial" w:eastAsia="Arial" w:hAnsi="Arial"/>
          <w:sz w:val="18"/>
          <w:szCs w:val="18"/>
          <w:color w:val="282324"/>
        </w:rPr>
        <w:t xml:space="preserve"> of your base </w:t>
      </w:r>
      <w:r>
        <w:rPr>
          <w:rFonts w:ascii="Arial" w:cs="Arial" w:eastAsia="Arial" w:hAnsi="Arial"/>
          <w:sz w:val="18"/>
          <w:szCs w:val="18"/>
          <w:color w:val="3A3838"/>
        </w:rPr>
        <w:t>salary.</w:t>
      </w:r>
      <w:r>
        <w:rPr>
          <w:rFonts w:ascii="Arial" w:cs="Arial" w:eastAsia="Arial" w:hAnsi="Arial"/>
          <w:sz w:val="18"/>
          <w:szCs w:val="18"/>
          <w:color w:val="282324"/>
        </w:rPr>
        <w:t xml:space="preserve"> If the maximum corporate </w:t>
      </w:r>
      <w:r>
        <w:rPr>
          <w:rFonts w:ascii="Arial" w:cs="Arial" w:eastAsia="Arial" w:hAnsi="Arial"/>
          <w:sz w:val="18"/>
          <w:szCs w:val="18"/>
          <w:color w:val="3A3838"/>
        </w:rPr>
        <w:t>and</w:t>
      </w:r>
      <w:r>
        <w:rPr>
          <w:rFonts w:ascii="Arial" w:cs="Arial" w:eastAsia="Arial" w:hAnsi="Arial"/>
          <w:sz w:val="18"/>
          <w:szCs w:val="18"/>
          <w:color w:val="282324"/>
        </w:rPr>
        <w:t xml:space="preserve"> business unit performance level is </w:t>
      </w:r>
      <w:r>
        <w:rPr>
          <w:rFonts w:ascii="Arial" w:cs="Arial" w:eastAsia="Arial" w:hAnsi="Arial"/>
          <w:sz w:val="18"/>
          <w:szCs w:val="18"/>
          <w:color w:val="3A3838"/>
        </w:rPr>
        <w:t>achieved,</w:t>
      </w:r>
      <w:r>
        <w:rPr>
          <w:rFonts w:ascii="Arial" w:cs="Arial" w:eastAsia="Arial" w:hAnsi="Arial"/>
          <w:sz w:val="18"/>
          <w:szCs w:val="18"/>
          <w:color w:val="282324"/>
        </w:rPr>
        <w:t xml:space="preserve"> the maximum incentive funding is 180%. </w:t>
      </w:r>
      <w:r>
        <w:rPr>
          <w:rFonts w:ascii="Arial" w:cs="Arial" w:eastAsia="Arial" w:hAnsi="Arial"/>
          <w:sz w:val="18"/>
          <w:szCs w:val="18"/>
          <w:color w:val="3A3838"/>
        </w:rPr>
        <w:t>Please</w:t>
      </w:r>
      <w:r>
        <w:rPr>
          <w:rFonts w:ascii="Arial" w:cs="Arial" w:eastAsia="Arial" w:hAnsi="Arial"/>
          <w:sz w:val="18"/>
          <w:szCs w:val="18"/>
          <w:color w:val="282324"/>
        </w:rPr>
        <w:t xml:space="preserve"> keep in mind the AIP is 100% discretionary and </w:t>
      </w:r>
      <w:r>
        <w:rPr>
          <w:rFonts w:ascii="Arial" w:cs="Arial" w:eastAsia="Arial" w:hAnsi="Arial"/>
          <w:sz w:val="18"/>
          <w:szCs w:val="18"/>
          <w:color w:val="3A3838"/>
        </w:rPr>
        <w:t>your</w:t>
      </w:r>
      <w:r>
        <w:rPr>
          <w:rFonts w:ascii="Arial" w:cs="Arial" w:eastAsia="Arial" w:hAnsi="Arial"/>
          <w:sz w:val="18"/>
          <w:szCs w:val="18"/>
          <w:color w:val="282324"/>
        </w:rPr>
        <w:t xml:space="preserve"> individua</w:t>
      </w:r>
      <w:r>
        <w:rPr>
          <w:rFonts w:ascii="Arial" w:cs="Arial" w:eastAsia="Arial" w:hAnsi="Arial"/>
          <w:sz w:val="18"/>
          <w:szCs w:val="18"/>
          <w:color w:val="594F50"/>
        </w:rPr>
        <w:t>l</w:t>
      </w:r>
      <w:r>
        <w:rPr>
          <w:rFonts w:ascii="Arial" w:cs="Arial" w:eastAsia="Arial" w:hAnsi="Arial"/>
          <w:sz w:val="18"/>
          <w:szCs w:val="18"/>
          <w:color w:val="282324"/>
        </w:rPr>
        <w:t xml:space="preserve"> </w:t>
      </w:r>
      <w:r>
        <w:rPr>
          <w:rFonts w:ascii="Arial" w:cs="Arial" w:eastAsia="Arial" w:hAnsi="Arial"/>
          <w:sz w:val="18"/>
          <w:szCs w:val="18"/>
          <w:color w:val="3A3838"/>
        </w:rPr>
        <w:t>award</w:t>
      </w:r>
      <w:r>
        <w:rPr>
          <w:rFonts w:ascii="Arial" w:cs="Arial" w:eastAsia="Arial" w:hAnsi="Arial"/>
          <w:sz w:val="18"/>
          <w:szCs w:val="18"/>
          <w:color w:val="282324"/>
        </w:rPr>
        <w:t xml:space="preserve"> may be higher or </w:t>
      </w:r>
      <w:r>
        <w:rPr>
          <w:rFonts w:ascii="Arial" w:cs="Arial" w:eastAsia="Arial" w:hAnsi="Arial"/>
          <w:sz w:val="18"/>
          <w:szCs w:val="18"/>
          <w:color w:val="3A3838"/>
        </w:rPr>
        <w:t>lower</w:t>
      </w:r>
      <w:r>
        <w:rPr>
          <w:rFonts w:ascii="Arial" w:cs="Arial" w:eastAsia="Arial" w:hAnsi="Arial"/>
          <w:sz w:val="18"/>
          <w:szCs w:val="18"/>
          <w:color w:val="282324"/>
        </w:rPr>
        <w:t xml:space="preserve"> based on </w:t>
      </w:r>
      <w:r>
        <w:rPr>
          <w:rFonts w:ascii="Arial" w:cs="Arial" w:eastAsia="Arial" w:hAnsi="Arial"/>
          <w:sz w:val="18"/>
          <w:szCs w:val="18"/>
          <w:color w:val="3A3838"/>
        </w:rPr>
        <w:t>your</w:t>
      </w:r>
      <w:r>
        <w:rPr>
          <w:rFonts w:ascii="Arial" w:cs="Arial" w:eastAsia="Arial" w:hAnsi="Arial"/>
          <w:sz w:val="18"/>
          <w:szCs w:val="18"/>
          <w:color w:val="282324"/>
        </w:rPr>
        <w:t xml:space="preserve"> individual performance and leader discretion. Annual cash </w:t>
      </w:r>
      <w:r>
        <w:rPr>
          <w:rFonts w:ascii="Arial" w:cs="Arial" w:eastAsia="Arial" w:hAnsi="Arial"/>
          <w:sz w:val="18"/>
          <w:szCs w:val="18"/>
          <w:color w:val="3A3838"/>
        </w:rPr>
        <w:t>incentive awards</w:t>
      </w:r>
      <w:r>
        <w:rPr>
          <w:rFonts w:ascii="Arial" w:cs="Arial" w:eastAsia="Arial" w:hAnsi="Arial"/>
          <w:sz w:val="18"/>
          <w:szCs w:val="18"/>
          <w:color w:val="282324"/>
        </w:rPr>
        <w:t xml:space="preserve"> are payable in March.</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282324"/>
        </w:rPr>
        <w:t>Equity:</w:t>
      </w:r>
    </w:p>
    <w:p>
      <w:pPr>
        <w:spacing w:after="0" w:line="18" w:lineRule="exact"/>
        <w:rPr>
          <w:sz w:val="20"/>
          <w:szCs w:val="20"/>
          <w:color w:val="auto"/>
        </w:rPr>
      </w:pPr>
    </w:p>
    <w:p>
      <w:pPr>
        <w:ind w:left="900"/>
        <w:spacing w:after="0"/>
        <w:rPr>
          <w:sz w:val="20"/>
          <w:szCs w:val="20"/>
          <w:color w:val="auto"/>
        </w:rPr>
      </w:pPr>
      <w:r>
        <w:rPr>
          <w:rFonts w:ascii="Arial" w:cs="Arial" w:eastAsia="Arial" w:hAnsi="Arial"/>
          <w:sz w:val="18"/>
          <w:szCs w:val="18"/>
          <w:color w:val="3A3838"/>
        </w:rPr>
        <w:t xml:space="preserve">You will </w:t>
      </w:r>
      <w:r>
        <w:rPr>
          <w:rFonts w:ascii="Arial" w:cs="Arial" w:eastAsia="Arial" w:hAnsi="Arial"/>
          <w:sz w:val="18"/>
          <w:szCs w:val="18"/>
          <w:color w:val="282324"/>
        </w:rPr>
        <w:t>be</w:t>
      </w:r>
      <w:r>
        <w:rPr>
          <w:rFonts w:ascii="Arial" w:cs="Arial" w:eastAsia="Arial" w:hAnsi="Arial"/>
          <w:sz w:val="18"/>
          <w:szCs w:val="18"/>
          <w:color w:val="3A3838"/>
        </w:rPr>
        <w:t xml:space="preserve"> eligible </w:t>
      </w:r>
      <w:r>
        <w:rPr>
          <w:rFonts w:ascii="Arial" w:cs="Arial" w:eastAsia="Arial" w:hAnsi="Arial"/>
          <w:sz w:val="18"/>
          <w:szCs w:val="18"/>
          <w:color w:val="282324"/>
        </w:rPr>
        <w:t>for</w:t>
      </w:r>
      <w:r>
        <w:rPr>
          <w:rFonts w:ascii="Arial" w:cs="Arial" w:eastAsia="Arial" w:hAnsi="Arial"/>
          <w:sz w:val="18"/>
          <w:szCs w:val="18"/>
          <w:color w:val="3A3838"/>
        </w:rPr>
        <w:t xml:space="preserve"> annual awards of </w:t>
      </w:r>
      <w:r>
        <w:rPr>
          <w:rFonts w:ascii="Arial" w:cs="Arial" w:eastAsia="Arial" w:hAnsi="Arial"/>
          <w:sz w:val="18"/>
          <w:szCs w:val="18"/>
          <w:color w:val="282324"/>
        </w:rPr>
        <w:t>equity equal to 250%</w:t>
      </w:r>
      <w:r>
        <w:rPr>
          <w:rFonts w:ascii="Arial" w:cs="Arial" w:eastAsia="Arial" w:hAnsi="Arial"/>
          <w:sz w:val="18"/>
          <w:szCs w:val="18"/>
          <w:color w:val="3A3838"/>
        </w:rPr>
        <w:t xml:space="preserve"> of </w:t>
      </w:r>
      <w:r>
        <w:rPr>
          <w:rFonts w:ascii="Arial" w:cs="Arial" w:eastAsia="Arial" w:hAnsi="Arial"/>
          <w:sz w:val="18"/>
          <w:szCs w:val="18"/>
          <w:color w:val="282324"/>
        </w:rPr>
        <w:t>your base</w:t>
      </w:r>
      <w:r>
        <w:rPr>
          <w:rFonts w:ascii="Arial" w:cs="Arial" w:eastAsia="Arial" w:hAnsi="Arial"/>
          <w:sz w:val="18"/>
          <w:szCs w:val="18"/>
          <w:color w:val="3A3838"/>
        </w:rPr>
        <w:t xml:space="preserve"> salary starting </w:t>
      </w:r>
      <w:r>
        <w:rPr>
          <w:rFonts w:ascii="Arial" w:cs="Arial" w:eastAsia="Arial" w:hAnsi="Arial"/>
          <w:sz w:val="18"/>
          <w:szCs w:val="18"/>
          <w:color w:val="282324"/>
        </w:rPr>
        <w:t>in</w:t>
      </w:r>
      <w:r>
        <w:rPr>
          <w:rFonts w:ascii="Arial" w:cs="Arial" w:eastAsia="Arial" w:hAnsi="Arial"/>
          <w:sz w:val="18"/>
          <w:szCs w:val="18"/>
          <w:color w:val="3A3838"/>
        </w:rPr>
        <w:t xml:space="preserve"> 2017.</w:t>
      </w:r>
    </w:p>
    <w:p>
      <w:pPr>
        <w:spacing w:after="0" w:line="198" w:lineRule="exact"/>
        <w:rPr>
          <w:sz w:val="20"/>
          <w:szCs w:val="20"/>
          <w:color w:val="auto"/>
        </w:rPr>
      </w:pPr>
    </w:p>
    <w:p>
      <w:pPr>
        <w:jc w:val="both"/>
        <w:ind w:left="900" w:right="20"/>
        <w:spacing w:after="0"/>
        <w:rPr>
          <w:sz w:val="20"/>
          <w:szCs w:val="20"/>
          <w:color w:val="auto"/>
        </w:rPr>
      </w:pPr>
      <w:r>
        <w:rPr>
          <w:rFonts w:ascii="Arial" w:cs="Arial" w:eastAsia="Arial" w:hAnsi="Arial"/>
          <w:sz w:val="18"/>
          <w:szCs w:val="18"/>
          <w:color w:val="282324"/>
        </w:rPr>
        <w:t xml:space="preserve">In addition </w:t>
      </w:r>
      <w:r>
        <w:rPr>
          <w:rFonts w:ascii="Arial" w:cs="Arial" w:eastAsia="Arial" w:hAnsi="Arial"/>
          <w:sz w:val="18"/>
          <w:szCs w:val="18"/>
          <w:color w:val="3A3838"/>
        </w:rPr>
        <w:t>you will</w:t>
      </w:r>
      <w:r>
        <w:rPr>
          <w:rFonts w:ascii="Arial" w:cs="Arial" w:eastAsia="Arial" w:hAnsi="Arial"/>
          <w:sz w:val="18"/>
          <w:szCs w:val="18"/>
          <w:color w:val="282324"/>
        </w:rPr>
        <w:t xml:space="preserve"> receive </w:t>
      </w:r>
      <w:r>
        <w:rPr>
          <w:rFonts w:ascii="Arial" w:cs="Arial" w:eastAsia="Arial" w:hAnsi="Arial"/>
          <w:sz w:val="18"/>
          <w:szCs w:val="18"/>
          <w:color w:val="3A3838"/>
        </w:rPr>
        <w:t>a</w:t>
      </w:r>
      <w:r>
        <w:rPr>
          <w:rFonts w:ascii="Arial" w:cs="Arial" w:eastAsia="Arial" w:hAnsi="Arial"/>
          <w:sz w:val="18"/>
          <w:szCs w:val="18"/>
          <w:color w:val="282324"/>
        </w:rPr>
        <w:t xml:space="preserve"> pro-rated equity grant in 2016 </w:t>
      </w:r>
      <w:r>
        <w:rPr>
          <w:rFonts w:ascii="Arial" w:cs="Arial" w:eastAsia="Arial" w:hAnsi="Arial"/>
          <w:sz w:val="18"/>
          <w:szCs w:val="18"/>
          <w:color w:val="3A3838"/>
        </w:rPr>
        <w:t>which will</w:t>
      </w:r>
      <w:r>
        <w:rPr>
          <w:rFonts w:ascii="Arial" w:cs="Arial" w:eastAsia="Arial" w:hAnsi="Arial"/>
          <w:sz w:val="18"/>
          <w:szCs w:val="18"/>
          <w:color w:val="282324"/>
        </w:rPr>
        <w:t xml:space="preserve"> be </w:t>
      </w:r>
      <w:r>
        <w:rPr>
          <w:rFonts w:ascii="Arial" w:cs="Arial" w:eastAsia="Arial" w:hAnsi="Arial"/>
          <w:sz w:val="18"/>
          <w:szCs w:val="18"/>
          <w:color w:val="3A3838"/>
        </w:rPr>
        <w:t>granted 50%</w:t>
      </w:r>
      <w:r>
        <w:rPr>
          <w:rFonts w:ascii="Arial" w:cs="Arial" w:eastAsia="Arial" w:hAnsi="Arial"/>
          <w:sz w:val="18"/>
          <w:szCs w:val="18"/>
          <w:color w:val="282324"/>
        </w:rPr>
        <w:t xml:space="preserve"> in restricted </w:t>
      </w:r>
      <w:r>
        <w:rPr>
          <w:rFonts w:ascii="Arial" w:cs="Arial" w:eastAsia="Arial" w:hAnsi="Arial"/>
          <w:sz w:val="18"/>
          <w:szCs w:val="18"/>
          <w:color w:val="3A3838"/>
        </w:rPr>
        <w:t>stock</w:t>
      </w:r>
      <w:r>
        <w:rPr>
          <w:rFonts w:ascii="Arial" w:cs="Arial" w:eastAsia="Arial" w:hAnsi="Arial"/>
          <w:sz w:val="18"/>
          <w:szCs w:val="18"/>
          <w:color w:val="282324"/>
        </w:rPr>
        <w:t xml:space="preserve"> units </w:t>
      </w:r>
      <w:r>
        <w:rPr>
          <w:rFonts w:ascii="Arial" w:cs="Arial" w:eastAsia="Arial" w:hAnsi="Arial"/>
          <w:sz w:val="18"/>
          <w:szCs w:val="18"/>
          <w:color w:val="3A3838"/>
        </w:rPr>
        <w:t>which</w:t>
      </w:r>
      <w:r>
        <w:rPr>
          <w:rFonts w:ascii="Arial" w:cs="Arial" w:eastAsia="Arial" w:hAnsi="Arial"/>
          <w:sz w:val="18"/>
          <w:szCs w:val="18"/>
          <w:color w:val="282324"/>
        </w:rPr>
        <w:t xml:space="preserve"> </w:t>
      </w:r>
      <w:r>
        <w:rPr>
          <w:rFonts w:ascii="Arial" w:cs="Arial" w:eastAsia="Arial" w:hAnsi="Arial"/>
          <w:sz w:val="18"/>
          <w:szCs w:val="18"/>
          <w:color w:val="3A3838"/>
        </w:rPr>
        <w:t xml:space="preserve">vest on </w:t>
      </w:r>
      <w:r>
        <w:rPr>
          <w:rFonts w:ascii="Arial" w:cs="Arial" w:eastAsia="Arial" w:hAnsi="Arial"/>
          <w:sz w:val="18"/>
          <w:szCs w:val="18"/>
          <w:color w:val="282324"/>
        </w:rPr>
        <w:t>the third anniversary of the</w:t>
      </w:r>
      <w:r>
        <w:rPr>
          <w:rFonts w:ascii="Arial" w:cs="Arial" w:eastAsia="Arial" w:hAnsi="Arial"/>
          <w:sz w:val="18"/>
          <w:szCs w:val="18"/>
          <w:color w:val="3A3838"/>
        </w:rPr>
        <w:t xml:space="preserve"> grant </w:t>
      </w:r>
      <w:r>
        <w:rPr>
          <w:rFonts w:ascii="Arial" w:cs="Arial" w:eastAsia="Arial" w:hAnsi="Arial"/>
          <w:sz w:val="18"/>
          <w:szCs w:val="18"/>
          <w:color w:val="282324"/>
        </w:rPr>
        <w:t>date and</w:t>
      </w:r>
      <w:r>
        <w:rPr>
          <w:rFonts w:ascii="Arial" w:cs="Arial" w:eastAsia="Arial" w:hAnsi="Arial"/>
          <w:sz w:val="18"/>
          <w:szCs w:val="18"/>
          <w:color w:val="3A3838"/>
        </w:rPr>
        <w:t xml:space="preserve"> 50% </w:t>
      </w:r>
      <w:r>
        <w:rPr>
          <w:rFonts w:ascii="Arial" w:cs="Arial" w:eastAsia="Arial" w:hAnsi="Arial"/>
          <w:sz w:val="18"/>
          <w:szCs w:val="18"/>
          <w:color w:val="282324"/>
        </w:rPr>
        <w:t>in</w:t>
      </w:r>
      <w:r>
        <w:rPr>
          <w:rFonts w:ascii="Arial" w:cs="Arial" w:eastAsia="Arial" w:hAnsi="Arial"/>
          <w:sz w:val="18"/>
          <w:szCs w:val="18"/>
          <w:color w:val="3A3838"/>
        </w:rPr>
        <w:t xml:space="preserve"> stock options which </w:t>
      </w:r>
      <w:r>
        <w:rPr>
          <w:rFonts w:ascii="Arial" w:cs="Arial" w:eastAsia="Arial" w:hAnsi="Arial"/>
          <w:sz w:val="18"/>
          <w:szCs w:val="18"/>
          <w:color w:val="282324"/>
        </w:rPr>
        <w:t>vest one third</w:t>
      </w:r>
      <w:r>
        <w:rPr>
          <w:rFonts w:ascii="Arial" w:cs="Arial" w:eastAsia="Arial" w:hAnsi="Arial"/>
          <w:sz w:val="18"/>
          <w:szCs w:val="18"/>
          <w:color w:val="3A3838"/>
        </w:rPr>
        <w:t xml:space="preserve"> on each of </w:t>
      </w:r>
      <w:r>
        <w:rPr>
          <w:rFonts w:ascii="Arial" w:cs="Arial" w:eastAsia="Arial" w:hAnsi="Arial"/>
          <w:sz w:val="18"/>
          <w:szCs w:val="18"/>
          <w:color w:val="282324"/>
        </w:rPr>
        <w:t>the first,</w:t>
      </w:r>
      <w:r>
        <w:rPr>
          <w:rFonts w:ascii="Arial" w:cs="Arial" w:eastAsia="Arial" w:hAnsi="Arial"/>
          <w:sz w:val="18"/>
          <w:szCs w:val="18"/>
          <w:color w:val="3A3838"/>
        </w:rPr>
        <w:t xml:space="preserve"> second and </w:t>
      </w:r>
      <w:r>
        <w:rPr>
          <w:rFonts w:ascii="Arial" w:cs="Arial" w:eastAsia="Arial" w:hAnsi="Arial"/>
          <w:sz w:val="18"/>
          <w:szCs w:val="18"/>
          <w:color w:val="282324"/>
        </w:rPr>
        <w:t>third</w:t>
      </w:r>
      <w:r>
        <w:rPr>
          <w:rFonts w:ascii="Arial" w:cs="Arial" w:eastAsia="Arial" w:hAnsi="Arial"/>
          <w:sz w:val="18"/>
          <w:szCs w:val="18"/>
          <w:color w:val="3A3838"/>
        </w:rPr>
        <w:t xml:space="preserve"> anniversary of </w:t>
      </w:r>
      <w:r>
        <w:rPr>
          <w:rFonts w:ascii="Arial" w:cs="Arial" w:eastAsia="Arial" w:hAnsi="Arial"/>
          <w:sz w:val="18"/>
          <w:szCs w:val="18"/>
          <w:color w:val="282324"/>
        </w:rPr>
        <w:t>the</w:t>
      </w:r>
      <w:r>
        <w:rPr>
          <w:rFonts w:ascii="Arial" w:cs="Arial" w:eastAsia="Arial" w:hAnsi="Arial"/>
          <w:sz w:val="18"/>
          <w:szCs w:val="18"/>
          <w:color w:val="3A3838"/>
        </w:rPr>
        <w:t xml:space="preserve"> grant </w:t>
      </w:r>
      <w:r>
        <w:rPr>
          <w:rFonts w:ascii="Arial" w:cs="Arial" w:eastAsia="Arial" w:hAnsi="Arial"/>
          <w:sz w:val="18"/>
          <w:szCs w:val="18"/>
          <w:color w:val="282324"/>
        </w:rPr>
        <w:t>date.</w:t>
      </w:r>
    </w:p>
    <w:p>
      <w:pPr>
        <w:spacing w:after="0" w:line="189" w:lineRule="exact"/>
        <w:rPr>
          <w:sz w:val="20"/>
          <w:szCs w:val="20"/>
          <w:color w:val="auto"/>
        </w:rPr>
      </w:pPr>
    </w:p>
    <w:p>
      <w:pPr>
        <w:ind w:left="900" w:right="500"/>
        <w:spacing w:after="0" w:line="246" w:lineRule="auto"/>
        <w:rPr>
          <w:sz w:val="20"/>
          <w:szCs w:val="20"/>
          <w:color w:val="auto"/>
        </w:rPr>
      </w:pPr>
      <w:r>
        <w:rPr>
          <w:rFonts w:ascii="Arial" w:cs="Arial" w:eastAsia="Arial" w:hAnsi="Arial"/>
          <w:sz w:val="18"/>
          <w:szCs w:val="18"/>
          <w:color w:val="282324"/>
        </w:rPr>
        <w:t>Equity awards are generally granted annually in February, with manager discretion and with the approval of the Board.</w:t>
      </w:r>
    </w:p>
    <w:p>
      <w:pPr>
        <w:sectPr>
          <w:pgSz w:w="11900" w:h="16838" w:orient="portrait"/>
          <w:cols w:equalWidth="0" w:num="1">
            <w:col w:w="10220"/>
          </w:cols>
          <w:pgMar w:left="1440" w:top="118" w:right="239" w:bottom="1440" w:gutter="0" w:footer="0" w:header="0"/>
        </w:sectPr>
      </w:pPr>
    </w:p>
    <w:bookmarkStart w:id="101" w:name="page102"/>
    <w:bookmarkEnd w:id="101"/>
    <w:p>
      <w:pPr>
        <w:ind w:left="900" w:right="300" w:firstLine="1055"/>
        <w:spacing w:after="0" w:line="246" w:lineRule="auto"/>
        <w:tabs>
          <w:tab w:leader="none" w:pos="2196" w:val="left"/>
        </w:tabs>
        <w:numPr>
          <w:ilvl w:val="0"/>
          <w:numId w:val="93"/>
        </w:numPr>
        <w:rPr>
          <w:rFonts w:ascii="Arial" w:cs="Arial" w:eastAsia="Arial" w:hAnsi="Arial"/>
          <w:sz w:val="18"/>
          <w:szCs w:val="18"/>
          <w:color w:val="auto"/>
        </w:rPr>
      </w:pPr>
      <w:r>
        <w:rPr>
          <w:rFonts w:ascii="Arial" w:cs="Arial" w:eastAsia="Arial" w:hAnsi="Arial"/>
          <w:sz w:val="18"/>
          <w:szCs w:val="18"/>
          <w:color w:val="383436"/>
        </w:rPr>
        <w:t xml:space="preserve">Stock options generally </w:t>
      </w:r>
      <w:r>
        <w:rPr>
          <w:rFonts w:ascii="Arial" w:cs="Arial" w:eastAsia="Arial" w:hAnsi="Arial"/>
          <w:sz w:val="18"/>
          <w:szCs w:val="18"/>
          <w:color w:val="242123"/>
        </w:rPr>
        <w:t>have a ten-year term and</w:t>
      </w:r>
      <w:r>
        <w:rPr>
          <w:rFonts w:ascii="Arial" w:cs="Arial" w:eastAsia="Arial" w:hAnsi="Arial"/>
          <w:sz w:val="18"/>
          <w:szCs w:val="18"/>
          <w:color w:val="383436"/>
        </w:rPr>
        <w:t xml:space="preserve"> vest one </w:t>
      </w:r>
      <w:r>
        <w:rPr>
          <w:rFonts w:ascii="Arial" w:cs="Arial" w:eastAsia="Arial" w:hAnsi="Arial"/>
          <w:sz w:val="18"/>
          <w:szCs w:val="18"/>
          <w:color w:val="242123"/>
        </w:rPr>
        <w:t>third</w:t>
      </w:r>
      <w:r>
        <w:rPr>
          <w:rFonts w:ascii="Arial" w:cs="Arial" w:eastAsia="Arial" w:hAnsi="Arial"/>
          <w:sz w:val="18"/>
          <w:szCs w:val="18"/>
          <w:color w:val="383436"/>
        </w:rPr>
        <w:t xml:space="preserve"> on </w:t>
      </w:r>
      <w:r>
        <w:rPr>
          <w:rFonts w:ascii="Arial" w:cs="Arial" w:eastAsia="Arial" w:hAnsi="Arial"/>
          <w:sz w:val="18"/>
          <w:szCs w:val="18"/>
          <w:color w:val="242123"/>
        </w:rPr>
        <w:t>each of</w:t>
      </w:r>
      <w:r>
        <w:rPr>
          <w:rFonts w:ascii="Arial" w:cs="Arial" w:eastAsia="Arial" w:hAnsi="Arial"/>
          <w:sz w:val="18"/>
          <w:szCs w:val="18"/>
          <w:color w:val="383436"/>
        </w:rPr>
        <w:t xml:space="preserve"> the </w:t>
      </w:r>
      <w:r>
        <w:rPr>
          <w:rFonts w:ascii="Arial" w:cs="Arial" w:eastAsia="Arial" w:hAnsi="Arial"/>
          <w:sz w:val="18"/>
          <w:szCs w:val="18"/>
          <w:color w:val="242123"/>
        </w:rPr>
        <w:t>first,</w:t>
      </w:r>
      <w:r>
        <w:rPr>
          <w:rFonts w:ascii="Arial" w:cs="Arial" w:eastAsia="Arial" w:hAnsi="Arial"/>
          <w:sz w:val="18"/>
          <w:szCs w:val="18"/>
          <w:color w:val="383436"/>
        </w:rPr>
        <w:t xml:space="preserve"> second, and </w:t>
      </w:r>
      <w:r>
        <w:rPr>
          <w:rFonts w:ascii="Arial" w:cs="Arial" w:eastAsia="Arial" w:hAnsi="Arial"/>
          <w:sz w:val="18"/>
          <w:szCs w:val="18"/>
          <w:color w:val="242123"/>
        </w:rPr>
        <w:t xml:space="preserve">third </w:t>
      </w:r>
      <w:r>
        <w:rPr>
          <w:rFonts w:ascii="Arial" w:cs="Arial" w:eastAsia="Arial" w:hAnsi="Arial"/>
          <w:sz w:val="18"/>
          <w:szCs w:val="18"/>
          <w:color w:val="383436"/>
        </w:rPr>
        <w:t>anniversaries of</w:t>
      </w:r>
      <w:r>
        <w:rPr>
          <w:rFonts w:ascii="Arial" w:cs="Arial" w:eastAsia="Arial" w:hAnsi="Arial"/>
          <w:sz w:val="18"/>
          <w:szCs w:val="18"/>
          <w:color w:val="242123"/>
        </w:rPr>
        <w:t xml:space="preserve"> the </w:t>
      </w:r>
      <w:r>
        <w:rPr>
          <w:rFonts w:ascii="Arial" w:cs="Arial" w:eastAsia="Arial" w:hAnsi="Arial"/>
          <w:sz w:val="18"/>
          <w:szCs w:val="18"/>
          <w:color w:val="383436"/>
        </w:rPr>
        <w:t>grant</w:t>
      </w:r>
      <w:r>
        <w:rPr>
          <w:rFonts w:ascii="Arial" w:cs="Arial" w:eastAsia="Arial" w:hAnsi="Arial"/>
          <w:sz w:val="18"/>
          <w:szCs w:val="18"/>
          <w:color w:val="242123"/>
        </w:rPr>
        <w:t xml:space="preserve"> date.</w:t>
      </w:r>
    </w:p>
    <w:p>
      <w:pPr>
        <w:spacing w:after="0" w:line="179" w:lineRule="exact"/>
        <w:rPr>
          <w:rFonts w:ascii="Arial" w:cs="Arial" w:eastAsia="Arial" w:hAnsi="Arial"/>
          <w:sz w:val="18"/>
          <w:szCs w:val="18"/>
          <w:color w:val="auto"/>
        </w:rPr>
      </w:pPr>
    </w:p>
    <w:p>
      <w:pPr>
        <w:ind w:left="2200" w:hanging="245"/>
        <w:spacing w:after="0"/>
        <w:tabs>
          <w:tab w:leader="none" w:pos="2200" w:val="left"/>
        </w:tabs>
        <w:numPr>
          <w:ilvl w:val="0"/>
          <w:numId w:val="93"/>
        </w:numPr>
        <w:rPr>
          <w:rFonts w:ascii="Arial" w:cs="Arial" w:eastAsia="Arial" w:hAnsi="Arial"/>
          <w:sz w:val="18"/>
          <w:szCs w:val="18"/>
          <w:color w:val="242123"/>
        </w:rPr>
      </w:pPr>
      <w:r>
        <w:rPr>
          <w:rFonts w:ascii="Arial" w:cs="Arial" w:eastAsia="Arial" w:hAnsi="Arial"/>
          <w:sz w:val="18"/>
          <w:szCs w:val="18"/>
          <w:color w:val="242123"/>
        </w:rPr>
        <w:t xml:space="preserve">Restricted stock units </w:t>
      </w:r>
      <w:r>
        <w:rPr>
          <w:rFonts w:ascii="Arial" w:cs="Arial" w:eastAsia="Arial" w:hAnsi="Arial"/>
          <w:sz w:val="18"/>
          <w:szCs w:val="18"/>
          <w:color w:val="383436"/>
        </w:rPr>
        <w:t>will</w:t>
      </w:r>
      <w:r>
        <w:rPr>
          <w:rFonts w:ascii="Arial" w:cs="Arial" w:eastAsia="Arial" w:hAnsi="Arial"/>
          <w:sz w:val="18"/>
          <w:szCs w:val="18"/>
          <w:color w:val="242123"/>
        </w:rPr>
        <w:t xml:space="preserve"> become 100% </w:t>
      </w:r>
      <w:r>
        <w:rPr>
          <w:rFonts w:ascii="Arial" w:cs="Arial" w:eastAsia="Arial" w:hAnsi="Arial"/>
          <w:sz w:val="18"/>
          <w:szCs w:val="18"/>
          <w:color w:val="383436"/>
        </w:rPr>
        <w:t>vested on</w:t>
      </w:r>
      <w:r>
        <w:rPr>
          <w:rFonts w:ascii="Arial" w:cs="Arial" w:eastAsia="Arial" w:hAnsi="Arial"/>
          <w:sz w:val="18"/>
          <w:szCs w:val="18"/>
          <w:color w:val="242123"/>
        </w:rPr>
        <w:t xml:space="preserve"> the third </w:t>
      </w:r>
      <w:r>
        <w:rPr>
          <w:rFonts w:ascii="Arial" w:cs="Arial" w:eastAsia="Arial" w:hAnsi="Arial"/>
          <w:sz w:val="18"/>
          <w:szCs w:val="18"/>
          <w:color w:val="383436"/>
        </w:rPr>
        <w:t>anniversary</w:t>
      </w:r>
      <w:r>
        <w:rPr>
          <w:rFonts w:ascii="Arial" w:cs="Arial" w:eastAsia="Arial" w:hAnsi="Arial"/>
          <w:sz w:val="18"/>
          <w:szCs w:val="18"/>
          <w:color w:val="242123"/>
        </w:rPr>
        <w:t xml:space="preserve"> of </w:t>
      </w:r>
      <w:r>
        <w:rPr>
          <w:rFonts w:ascii="Arial" w:cs="Arial" w:eastAsia="Arial" w:hAnsi="Arial"/>
          <w:sz w:val="18"/>
          <w:szCs w:val="18"/>
          <w:color w:val="383436"/>
        </w:rPr>
        <w:t>the grant</w:t>
      </w:r>
      <w:r>
        <w:rPr>
          <w:rFonts w:ascii="Arial" w:cs="Arial" w:eastAsia="Arial" w:hAnsi="Arial"/>
          <w:sz w:val="18"/>
          <w:szCs w:val="18"/>
          <w:color w:val="242123"/>
        </w:rPr>
        <w:t xml:space="preser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-513080</wp:posOffset>
            </wp:positionV>
            <wp:extent cx="892175" cy="66719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92175" cy="6671945"/>
                    </a:xfrm>
                    <a:prstGeom prst="rect">
                      <a:avLst/>
                    </a:prstGeom>
                    <a:noFill/>
                  </pic:spPr>
                </pic:pic>
              </a:graphicData>
            </a:graphic>
          </wp:anchor>
        </w:drawing>
      </w:r>
    </w:p>
    <w:p>
      <w:pPr>
        <w:ind w:left="900"/>
        <w:spacing w:after="0"/>
        <w:rPr>
          <w:sz w:val="20"/>
          <w:szCs w:val="20"/>
          <w:color w:val="auto"/>
        </w:rPr>
      </w:pPr>
      <w:r>
        <w:rPr>
          <w:rFonts w:ascii="Arial" w:cs="Arial" w:eastAsia="Arial" w:hAnsi="Arial"/>
          <w:sz w:val="18"/>
          <w:szCs w:val="18"/>
          <w:color w:val="242123"/>
        </w:rPr>
        <w:t xml:space="preserve">In </w:t>
      </w:r>
      <w:r>
        <w:rPr>
          <w:rFonts w:ascii="Arial" w:cs="Arial" w:eastAsia="Arial" w:hAnsi="Arial"/>
          <w:sz w:val="18"/>
          <w:szCs w:val="18"/>
          <w:color w:val="383436"/>
        </w:rPr>
        <w:t>addition,</w:t>
      </w:r>
      <w:r>
        <w:rPr>
          <w:rFonts w:ascii="Arial" w:cs="Arial" w:eastAsia="Arial" w:hAnsi="Arial"/>
          <w:sz w:val="18"/>
          <w:szCs w:val="18"/>
          <w:color w:val="242123"/>
        </w:rPr>
        <w:t xml:space="preserve"> the restricted </w:t>
      </w:r>
      <w:r>
        <w:rPr>
          <w:rFonts w:ascii="Arial" w:cs="Arial" w:eastAsia="Arial" w:hAnsi="Arial"/>
          <w:sz w:val="18"/>
          <w:szCs w:val="18"/>
          <w:color w:val="383436"/>
        </w:rPr>
        <w:t>stock</w:t>
      </w:r>
      <w:r>
        <w:rPr>
          <w:rFonts w:ascii="Arial" w:cs="Arial" w:eastAsia="Arial" w:hAnsi="Arial"/>
          <w:sz w:val="18"/>
          <w:szCs w:val="18"/>
          <w:color w:val="242123"/>
        </w:rPr>
        <w:t xml:space="preserve"> units </w:t>
      </w:r>
      <w:r>
        <w:rPr>
          <w:rFonts w:ascii="Arial" w:cs="Arial" w:eastAsia="Arial" w:hAnsi="Arial"/>
          <w:sz w:val="18"/>
          <w:szCs w:val="18"/>
          <w:color w:val="383436"/>
        </w:rPr>
        <w:t>accumulate</w:t>
      </w:r>
      <w:r>
        <w:rPr>
          <w:rFonts w:ascii="Arial" w:cs="Arial" w:eastAsia="Arial" w:hAnsi="Arial"/>
          <w:sz w:val="18"/>
          <w:szCs w:val="18"/>
          <w:color w:val="242123"/>
        </w:rPr>
        <w:t xml:space="preserve"> quarterly dividend equivalents in </w:t>
      </w:r>
      <w:r>
        <w:rPr>
          <w:rFonts w:ascii="Arial" w:cs="Arial" w:eastAsia="Arial" w:hAnsi="Arial"/>
          <w:sz w:val="18"/>
          <w:szCs w:val="18"/>
          <w:color w:val="383436"/>
        </w:rPr>
        <w:t>cash</w:t>
      </w:r>
      <w:r>
        <w:rPr>
          <w:rFonts w:ascii="Arial" w:cs="Arial" w:eastAsia="Arial" w:hAnsi="Arial"/>
          <w:sz w:val="18"/>
          <w:szCs w:val="18"/>
          <w:color w:val="242123"/>
        </w:rPr>
        <w:t xml:space="preserve"> payable upon </w:t>
      </w:r>
      <w:r>
        <w:rPr>
          <w:rFonts w:ascii="Arial" w:cs="Arial" w:eastAsia="Arial" w:hAnsi="Arial"/>
          <w:sz w:val="18"/>
          <w:szCs w:val="18"/>
          <w:color w:val="383436"/>
        </w:rPr>
        <w:t>vesting.</w:t>
      </w:r>
    </w:p>
    <w:p>
      <w:pPr>
        <w:spacing w:after="0" w:line="198" w:lineRule="exact"/>
        <w:rPr>
          <w:sz w:val="20"/>
          <w:szCs w:val="20"/>
          <w:color w:val="auto"/>
        </w:rPr>
      </w:pPr>
    </w:p>
    <w:p>
      <w:pPr>
        <w:ind w:left="900" w:right="40" w:firstLine="1055"/>
        <w:spacing w:after="0"/>
        <w:tabs>
          <w:tab w:leader="none" w:pos="2196" w:val="left"/>
        </w:tabs>
        <w:numPr>
          <w:ilvl w:val="0"/>
          <w:numId w:val="94"/>
        </w:numPr>
        <w:rPr>
          <w:rFonts w:ascii="Arial" w:cs="Arial" w:eastAsia="Arial" w:hAnsi="Arial"/>
          <w:sz w:val="18"/>
          <w:szCs w:val="18"/>
          <w:color w:val="383436"/>
        </w:rPr>
      </w:pPr>
      <w:r>
        <w:rPr>
          <w:rFonts w:ascii="Arial" w:cs="Arial" w:eastAsia="Arial" w:hAnsi="Arial"/>
          <w:sz w:val="18"/>
          <w:szCs w:val="18"/>
          <w:color w:val="242123"/>
        </w:rPr>
        <w:t xml:space="preserve">Performance </w:t>
      </w:r>
      <w:r>
        <w:rPr>
          <w:rFonts w:ascii="Arial" w:cs="Arial" w:eastAsia="Arial" w:hAnsi="Arial"/>
          <w:sz w:val="18"/>
          <w:szCs w:val="18"/>
          <w:color w:val="383436"/>
        </w:rPr>
        <w:t>stock awards</w:t>
      </w:r>
      <w:r>
        <w:rPr>
          <w:rFonts w:ascii="Arial" w:cs="Arial" w:eastAsia="Arial" w:hAnsi="Arial"/>
          <w:sz w:val="18"/>
          <w:szCs w:val="18"/>
          <w:color w:val="242123"/>
        </w:rPr>
        <w:t xml:space="preserve"> feature </w:t>
      </w:r>
      <w:r>
        <w:rPr>
          <w:rFonts w:ascii="Arial" w:cs="Arial" w:eastAsia="Arial" w:hAnsi="Arial"/>
          <w:sz w:val="18"/>
          <w:szCs w:val="18"/>
          <w:color w:val="383436"/>
        </w:rPr>
        <w:t>a</w:t>
      </w:r>
      <w:r>
        <w:rPr>
          <w:rFonts w:ascii="Arial" w:cs="Arial" w:eastAsia="Arial" w:hAnsi="Arial"/>
          <w:sz w:val="18"/>
          <w:szCs w:val="18"/>
          <w:color w:val="242123"/>
        </w:rPr>
        <w:t xml:space="preserve"> three-year performance period using </w:t>
      </w:r>
      <w:r>
        <w:rPr>
          <w:rFonts w:ascii="Arial" w:cs="Arial" w:eastAsia="Arial" w:hAnsi="Arial"/>
          <w:sz w:val="18"/>
          <w:szCs w:val="18"/>
          <w:color w:val="383436"/>
        </w:rPr>
        <w:t>a</w:t>
      </w:r>
      <w:r>
        <w:rPr>
          <w:rFonts w:ascii="Arial" w:cs="Arial" w:eastAsia="Arial" w:hAnsi="Arial"/>
          <w:sz w:val="18"/>
          <w:szCs w:val="18"/>
          <w:color w:val="242123"/>
        </w:rPr>
        <w:t xml:space="preserve"> three-year </w:t>
      </w:r>
      <w:r>
        <w:rPr>
          <w:rFonts w:ascii="Arial" w:cs="Arial" w:eastAsia="Arial" w:hAnsi="Arial"/>
          <w:sz w:val="18"/>
          <w:szCs w:val="18"/>
          <w:color w:val="383436"/>
        </w:rPr>
        <w:t>average of</w:t>
      </w:r>
      <w:r>
        <w:rPr>
          <w:rFonts w:ascii="Arial" w:cs="Arial" w:eastAsia="Arial" w:hAnsi="Arial"/>
          <w:sz w:val="18"/>
          <w:szCs w:val="18"/>
          <w:color w:val="242123"/>
        </w:rPr>
        <w:t xml:space="preserve"> </w:t>
      </w:r>
      <w:r>
        <w:rPr>
          <w:rFonts w:ascii="Arial" w:cs="Arial" w:eastAsia="Arial" w:hAnsi="Arial"/>
          <w:sz w:val="18"/>
          <w:szCs w:val="18"/>
          <w:color w:val="383436"/>
        </w:rPr>
        <w:t xml:space="preserve">management-determined </w:t>
      </w:r>
      <w:r>
        <w:rPr>
          <w:rFonts w:ascii="Arial" w:cs="Arial" w:eastAsia="Arial" w:hAnsi="Arial"/>
          <w:sz w:val="18"/>
          <w:szCs w:val="18"/>
          <w:color w:val="242123"/>
        </w:rPr>
        <w:t>performance measures and</w:t>
      </w:r>
      <w:r>
        <w:rPr>
          <w:rFonts w:ascii="Arial" w:cs="Arial" w:eastAsia="Arial" w:hAnsi="Arial"/>
          <w:sz w:val="18"/>
          <w:szCs w:val="18"/>
          <w:color w:val="383436"/>
        </w:rPr>
        <w:t xml:space="preserve"> vest on </w:t>
      </w:r>
      <w:r>
        <w:rPr>
          <w:rFonts w:ascii="Arial" w:cs="Arial" w:eastAsia="Arial" w:hAnsi="Arial"/>
          <w:sz w:val="18"/>
          <w:szCs w:val="18"/>
          <w:color w:val="242123"/>
        </w:rPr>
        <w:t>the third anniversary</w:t>
      </w:r>
      <w:r>
        <w:rPr>
          <w:rFonts w:ascii="Arial" w:cs="Arial" w:eastAsia="Arial" w:hAnsi="Arial"/>
          <w:sz w:val="18"/>
          <w:szCs w:val="18"/>
          <w:color w:val="383436"/>
        </w:rPr>
        <w:t xml:space="preserve"> of </w:t>
      </w:r>
      <w:r>
        <w:rPr>
          <w:rFonts w:ascii="Arial" w:cs="Arial" w:eastAsia="Arial" w:hAnsi="Arial"/>
          <w:sz w:val="18"/>
          <w:szCs w:val="18"/>
          <w:color w:val="242123"/>
        </w:rPr>
        <w:t>the</w:t>
      </w:r>
      <w:r>
        <w:rPr>
          <w:rFonts w:ascii="Arial" w:cs="Arial" w:eastAsia="Arial" w:hAnsi="Arial"/>
          <w:sz w:val="18"/>
          <w:szCs w:val="18"/>
          <w:color w:val="383436"/>
        </w:rPr>
        <w:t xml:space="preserve"> grant date. </w:t>
      </w:r>
      <w:r>
        <w:rPr>
          <w:rFonts w:ascii="Arial" w:cs="Arial" w:eastAsia="Arial" w:hAnsi="Arial"/>
          <w:sz w:val="18"/>
          <w:szCs w:val="18"/>
          <w:color w:val="242123"/>
        </w:rPr>
        <w:t>In</w:t>
      </w:r>
      <w:r>
        <w:rPr>
          <w:rFonts w:ascii="Arial" w:cs="Arial" w:eastAsia="Arial" w:hAnsi="Arial"/>
          <w:sz w:val="18"/>
          <w:szCs w:val="18"/>
          <w:color w:val="383436"/>
        </w:rPr>
        <w:t xml:space="preserve"> addition, </w:t>
      </w:r>
      <w:r>
        <w:rPr>
          <w:rFonts w:ascii="Arial" w:cs="Arial" w:eastAsia="Arial" w:hAnsi="Arial"/>
          <w:sz w:val="18"/>
          <w:szCs w:val="18"/>
          <w:color w:val="242123"/>
        </w:rPr>
        <w:t>the</w:t>
      </w:r>
      <w:r>
        <w:rPr>
          <w:rFonts w:ascii="Arial" w:cs="Arial" w:eastAsia="Arial" w:hAnsi="Arial"/>
          <w:sz w:val="18"/>
          <w:szCs w:val="18"/>
          <w:color w:val="383436"/>
        </w:rPr>
        <w:t xml:space="preserve"> </w:t>
      </w:r>
      <w:r>
        <w:rPr>
          <w:rFonts w:ascii="Arial" w:cs="Arial" w:eastAsia="Arial" w:hAnsi="Arial"/>
          <w:sz w:val="18"/>
          <w:szCs w:val="18"/>
          <w:color w:val="242123"/>
        </w:rPr>
        <w:t xml:space="preserve">performance </w:t>
      </w:r>
      <w:r>
        <w:rPr>
          <w:rFonts w:ascii="Arial" w:cs="Arial" w:eastAsia="Arial" w:hAnsi="Arial"/>
          <w:sz w:val="18"/>
          <w:szCs w:val="18"/>
          <w:color w:val="383436"/>
        </w:rPr>
        <w:t>stock awards accumulate</w:t>
      </w:r>
      <w:r>
        <w:rPr>
          <w:rFonts w:ascii="Arial" w:cs="Arial" w:eastAsia="Arial" w:hAnsi="Arial"/>
          <w:sz w:val="18"/>
          <w:szCs w:val="18"/>
          <w:color w:val="242123"/>
        </w:rPr>
        <w:t xml:space="preserve"> quarterly dividend </w:t>
      </w:r>
      <w:r>
        <w:rPr>
          <w:rFonts w:ascii="Arial" w:cs="Arial" w:eastAsia="Arial" w:hAnsi="Arial"/>
          <w:sz w:val="18"/>
          <w:szCs w:val="18"/>
          <w:color w:val="383436"/>
        </w:rPr>
        <w:t>equivalents</w:t>
      </w:r>
      <w:r>
        <w:rPr>
          <w:rFonts w:ascii="Arial" w:cs="Arial" w:eastAsia="Arial" w:hAnsi="Arial"/>
          <w:sz w:val="18"/>
          <w:szCs w:val="18"/>
          <w:color w:val="242123"/>
        </w:rPr>
        <w:t xml:space="preserve"> in </w:t>
      </w:r>
      <w:r>
        <w:rPr>
          <w:rFonts w:ascii="Arial" w:cs="Arial" w:eastAsia="Arial" w:hAnsi="Arial"/>
          <w:sz w:val="18"/>
          <w:szCs w:val="18"/>
          <w:color w:val="383436"/>
        </w:rPr>
        <w:t>cash payable</w:t>
      </w:r>
      <w:r>
        <w:rPr>
          <w:rFonts w:ascii="Arial" w:cs="Arial" w:eastAsia="Arial" w:hAnsi="Arial"/>
          <w:sz w:val="18"/>
          <w:szCs w:val="18"/>
          <w:color w:val="242123"/>
        </w:rPr>
        <w:t xml:space="preserve"> upon </w:t>
      </w:r>
      <w:r>
        <w:rPr>
          <w:rFonts w:ascii="Arial" w:cs="Arial" w:eastAsia="Arial" w:hAnsi="Arial"/>
          <w:sz w:val="18"/>
          <w:szCs w:val="18"/>
          <w:color w:val="383436"/>
        </w:rPr>
        <w:t>vesting.</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242123"/>
        </w:rPr>
        <w:t xml:space="preserve">Sign-on Bonus </w:t>
      </w:r>
      <w:r>
        <w:rPr>
          <w:rFonts w:ascii="Arial" w:cs="Arial" w:eastAsia="Arial" w:hAnsi="Arial"/>
          <w:sz w:val="18"/>
          <w:szCs w:val="18"/>
          <w:b w:val="1"/>
          <w:bCs w:val="1"/>
          <w:color w:val="383436"/>
        </w:rPr>
        <w:t>-</w:t>
      </w:r>
      <w:r>
        <w:rPr>
          <w:rFonts w:ascii="Arial" w:cs="Arial" w:eastAsia="Arial" w:hAnsi="Arial"/>
          <w:sz w:val="18"/>
          <w:szCs w:val="18"/>
          <w:b w:val="1"/>
          <w:bCs w:val="1"/>
          <w:color w:val="242123"/>
        </w:rPr>
        <w:t xml:space="preserve"> Cash and Equity:</w:t>
      </w:r>
    </w:p>
    <w:p>
      <w:pPr>
        <w:spacing w:after="0" w:line="220" w:lineRule="exact"/>
        <w:rPr>
          <w:sz w:val="20"/>
          <w:szCs w:val="20"/>
          <w:color w:val="auto"/>
        </w:rPr>
      </w:pPr>
    </w:p>
    <w:p>
      <w:pPr>
        <w:ind w:left="900" w:right="240"/>
        <w:spacing w:after="0" w:line="239" w:lineRule="auto"/>
        <w:rPr>
          <w:sz w:val="20"/>
          <w:szCs w:val="20"/>
          <w:color w:val="auto"/>
        </w:rPr>
      </w:pPr>
      <w:r>
        <w:rPr>
          <w:rFonts w:ascii="Arial" w:cs="Arial" w:eastAsia="Arial" w:hAnsi="Arial"/>
          <w:sz w:val="18"/>
          <w:szCs w:val="18"/>
          <w:color w:val="383436"/>
        </w:rPr>
        <w:t xml:space="preserve">You will </w:t>
      </w:r>
      <w:r>
        <w:rPr>
          <w:rFonts w:ascii="Arial" w:cs="Arial" w:eastAsia="Arial" w:hAnsi="Arial"/>
          <w:sz w:val="18"/>
          <w:szCs w:val="18"/>
          <w:color w:val="242123"/>
        </w:rPr>
        <w:t>be</w:t>
      </w:r>
      <w:r>
        <w:rPr>
          <w:rFonts w:ascii="Arial" w:cs="Arial" w:eastAsia="Arial" w:hAnsi="Arial"/>
          <w:sz w:val="18"/>
          <w:szCs w:val="18"/>
          <w:color w:val="383436"/>
        </w:rPr>
        <w:t xml:space="preserve"> eligible </w:t>
      </w:r>
      <w:r>
        <w:rPr>
          <w:rFonts w:ascii="Arial" w:cs="Arial" w:eastAsia="Arial" w:hAnsi="Arial"/>
          <w:sz w:val="18"/>
          <w:szCs w:val="18"/>
          <w:color w:val="242123"/>
        </w:rPr>
        <w:t>to receive</w:t>
      </w:r>
      <w:r>
        <w:rPr>
          <w:rFonts w:ascii="Arial" w:cs="Arial" w:eastAsia="Arial" w:hAnsi="Arial"/>
          <w:sz w:val="18"/>
          <w:szCs w:val="18"/>
          <w:color w:val="383436"/>
        </w:rPr>
        <w:t xml:space="preserve"> a cash sign-on bonus </w:t>
      </w:r>
      <w:r>
        <w:rPr>
          <w:rFonts w:ascii="Arial" w:cs="Arial" w:eastAsia="Arial" w:hAnsi="Arial"/>
          <w:sz w:val="18"/>
          <w:szCs w:val="18"/>
          <w:color w:val="242123"/>
        </w:rPr>
        <w:t>of</w:t>
      </w:r>
      <w:r>
        <w:rPr>
          <w:rFonts w:ascii="Arial" w:cs="Arial" w:eastAsia="Arial" w:hAnsi="Arial"/>
          <w:sz w:val="18"/>
          <w:szCs w:val="18"/>
          <w:color w:val="383436"/>
        </w:rPr>
        <w:t xml:space="preserve"> $295,000, </w:t>
      </w:r>
      <w:r>
        <w:rPr>
          <w:rFonts w:ascii="Arial" w:cs="Arial" w:eastAsia="Arial" w:hAnsi="Arial"/>
          <w:sz w:val="18"/>
          <w:szCs w:val="18"/>
          <w:color w:val="242123"/>
        </w:rPr>
        <w:t>less</w:t>
      </w:r>
      <w:r>
        <w:rPr>
          <w:rFonts w:ascii="Arial" w:cs="Arial" w:eastAsia="Arial" w:hAnsi="Arial"/>
          <w:sz w:val="18"/>
          <w:szCs w:val="18"/>
          <w:color w:val="383436"/>
        </w:rPr>
        <w:t xml:space="preserve"> applicable withholdings, payable within 30 </w:t>
      </w:r>
      <w:r>
        <w:rPr>
          <w:rFonts w:ascii="Arial" w:cs="Arial" w:eastAsia="Arial" w:hAnsi="Arial"/>
          <w:sz w:val="18"/>
          <w:szCs w:val="18"/>
          <w:color w:val="242123"/>
        </w:rPr>
        <w:t xml:space="preserve">days </w:t>
      </w:r>
      <w:r>
        <w:rPr>
          <w:rFonts w:ascii="Arial" w:cs="Arial" w:eastAsia="Arial" w:hAnsi="Arial"/>
          <w:sz w:val="18"/>
          <w:szCs w:val="18"/>
          <w:color w:val="383436"/>
        </w:rPr>
        <w:t>of your start date. You</w:t>
      </w:r>
      <w:r>
        <w:rPr>
          <w:rFonts w:ascii="Arial" w:cs="Arial" w:eastAsia="Arial" w:hAnsi="Arial"/>
          <w:sz w:val="18"/>
          <w:szCs w:val="18"/>
          <w:color w:val="242123"/>
        </w:rPr>
        <w:t xml:space="preserve"> must be </w:t>
      </w:r>
      <w:r>
        <w:rPr>
          <w:rFonts w:ascii="Arial" w:cs="Arial" w:eastAsia="Arial" w:hAnsi="Arial"/>
          <w:sz w:val="18"/>
          <w:szCs w:val="18"/>
          <w:color w:val="383436"/>
        </w:rPr>
        <w:t>employed by Allstate on</w:t>
      </w:r>
      <w:r>
        <w:rPr>
          <w:rFonts w:ascii="Arial" w:cs="Arial" w:eastAsia="Arial" w:hAnsi="Arial"/>
          <w:sz w:val="18"/>
          <w:szCs w:val="18"/>
          <w:color w:val="242123"/>
        </w:rPr>
        <w:t xml:space="preserve"> the date the </w:t>
      </w:r>
      <w:r>
        <w:rPr>
          <w:rFonts w:ascii="Arial" w:cs="Arial" w:eastAsia="Arial" w:hAnsi="Arial"/>
          <w:sz w:val="18"/>
          <w:szCs w:val="18"/>
          <w:color w:val="383436"/>
        </w:rPr>
        <w:t>bonus</w:t>
      </w:r>
      <w:r>
        <w:rPr>
          <w:rFonts w:ascii="Arial" w:cs="Arial" w:eastAsia="Arial" w:hAnsi="Arial"/>
          <w:sz w:val="18"/>
          <w:szCs w:val="18"/>
          <w:color w:val="242123"/>
        </w:rPr>
        <w:t xml:space="preserve"> is </w:t>
      </w:r>
      <w:r>
        <w:rPr>
          <w:rFonts w:ascii="Arial" w:cs="Arial" w:eastAsia="Arial" w:hAnsi="Arial"/>
          <w:sz w:val="18"/>
          <w:szCs w:val="18"/>
          <w:color w:val="383436"/>
        </w:rPr>
        <w:t>payable</w:t>
      </w:r>
      <w:r>
        <w:rPr>
          <w:rFonts w:ascii="Arial" w:cs="Arial" w:eastAsia="Arial" w:hAnsi="Arial"/>
          <w:sz w:val="18"/>
          <w:szCs w:val="18"/>
          <w:color w:val="242123"/>
        </w:rPr>
        <w:t xml:space="preserve"> in </w:t>
      </w:r>
      <w:r>
        <w:rPr>
          <w:rFonts w:ascii="Arial" w:cs="Arial" w:eastAsia="Arial" w:hAnsi="Arial"/>
          <w:sz w:val="18"/>
          <w:szCs w:val="18"/>
          <w:color w:val="383436"/>
        </w:rPr>
        <w:t>order</w:t>
      </w:r>
      <w:r>
        <w:rPr>
          <w:rFonts w:ascii="Arial" w:cs="Arial" w:eastAsia="Arial" w:hAnsi="Arial"/>
          <w:sz w:val="18"/>
          <w:szCs w:val="18"/>
          <w:color w:val="242123"/>
        </w:rPr>
        <w:t xml:space="preserve"> to receive the </w:t>
      </w:r>
      <w:r>
        <w:rPr>
          <w:rFonts w:ascii="Arial" w:cs="Arial" w:eastAsia="Arial" w:hAnsi="Arial"/>
          <w:sz w:val="18"/>
          <w:szCs w:val="18"/>
          <w:color w:val="383436"/>
        </w:rPr>
        <w:t xml:space="preserve">signing </w:t>
      </w:r>
      <w:r>
        <w:rPr>
          <w:rFonts w:ascii="Arial" w:cs="Arial" w:eastAsia="Arial" w:hAnsi="Arial"/>
          <w:sz w:val="18"/>
          <w:szCs w:val="18"/>
          <w:color w:val="242123"/>
        </w:rPr>
        <w:t>bonus</w:t>
      </w:r>
      <w:r>
        <w:rPr>
          <w:rFonts w:ascii="Arial" w:cs="Arial" w:eastAsia="Arial" w:hAnsi="Arial"/>
          <w:sz w:val="18"/>
          <w:szCs w:val="18"/>
          <w:color w:val="383436"/>
        </w:rPr>
        <w:t xml:space="preserve"> except </w:t>
      </w:r>
      <w:r>
        <w:rPr>
          <w:rFonts w:ascii="Arial" w:cs="Arial" w:eastAsia="Arial" w:hAnsi="Arial"/>
          <w:sz w:val="18"/>
          <w:szCs w:val="18"/>
          <w:color w:val="242123"/>
        </w:rPr>
        <w:t>in the</w:t>
      </w:r>
      <w:r>
        <w:rPr>
          <w:rFonts w:ascii="Arial" w:cs="Arial" w:eastAsia="Arial" w:hAnsi="Arial"/>
          <w:sz w:val="18"/>
          <w:szCs w:val="18"/>
          <w:color w:val="383436"/>
        </w:rPr>
        <w:t xml:space="preserve"> event of termination of employment </w:t>
      </w:r>
      <w:r>
        <w:rPr>
          <w:rFonts w:ascii="Arial" w:cs="Arial" w:eastAsia="Arial" w:hAnsi="Arial"/>
          <w:sz w:val="18"/>
          <w:szCs w:val="18"/>
          <w:color w:val="242123"/>
        </w:rPr>
        <w:t>as</w:t>
      </w:r>
      <w:r>
        <w:rPr>
          <w:rFonts w:ascii="Arial" w:cs="Arial" w:eastAsia="Arial" w:hAnsi="Arial"/>
          <w:sz w:val="18"/>
          <w:szCs w:val="18"/>
          <w:color w:val="383436"/>
        </w:rPr>
        <w:t xml:space="preserve"> a result of a </w:t>
      </w:r>
      <w:r>
        <w:rPr>
          <w:rFonts w:ascii="Arial" w:cs="Arial" w:eastAsia="Arial" w:hAnsi="Arial"/>
          <w:sz w:val="18"/>
          <w:szCs w:val="18"/>
          <w:color w:val="242123"/>
        </w:rPr>
        <w:t>reorganization or reduction in</w:t>
      </w:r>
      <w:r>
        <w:rPr>
          <w:rFonts w:ascii="Arial" w:cs="Arial" w:eastAsia="Arial" w:hAnsi="Arial"/>
          <w:sz w:val="18"/>
          <w:szCs w:val="18"/>
          <w:color w:val="383436"/>
        </w:rPr>
        <w:t xml:space="preserve"> workforce.</w:t>
      </w:r>
    </w:p>
    <w:p>
      <w:pPr>
        <w:spacing w:after="0" w:line="188" w:lineRule="exact"/>
        <w:rPr>
          <w:sz w:val="20"/>
          <w:szCs w:val="20"/>
          <w:color w:val="auto"/>
        </w:rPr>
      </w:pPr>
    </w:p>
    <w:p>
      <w:pPr>
        <w:jc w:val="both"/>
        <w:ind w:left="900" w:right="80"/>
        <w:spacing w:after="0"/>
        <w:rPr>
          <w:sz w:val="20"/>
          <w:szCs w:val="20"/>
          <w:color w:val="auto"/>
        </w:rPr>
      </w:pPr>
      <w:r>
        <w:rPr>
          <w:rFonts w:ascii="Arial" w:cs="Arial" w:eastAsia="Arial" w:hAnsi="Arial"/>
          <w:sz w:val="18"/>
          <w:szCs w:val="18"/>
          <w:color w:val="242123"/>
        </w:rPr>
        <w:t xml:space="preserve">Also, you will be </w:t>
      </w:r>
      <w:r>
        <w:rPr>
          <w:rFonts w:ascii="Arial" w:cs="Arial" w:eastAsia="Arial" w:hAnsi="Arial"/>
          <w:sz w:val="18"/>
          <w:szCs w:val="18"/>
          <w:color w:val="383436"/>
        </w:rPr>
        <w:t>eligible</w:t>
      </w:r>
      <w:r>
        <w:rPr>
          <w:rFonts w:ascii="Arial" w:cs="Arial" w:eastAsia="Arial" w:hAnsi="Arial"/>
          <w:sz w:val="18"/>
          <w:szCs w:val="18"/>
          <w:color w:val="242123"/>
        </w:rPr>
        <w:t xml:space="preserve"> to receive </w:t>
      </w:r>
      <w:r>
        <w:rPr>
          <w:rFonts w:ascii="Arial" w:cs="Arial" w:eastAsia="Arial" w:hAnsi="Arial"/>
          <w:sz w:val="18"/>
          <w:szCs w:val="18"/>
          <w:color w:val="383436"/>
        </w:rPr>
        <w:t>an equity sign-on</w:t>
      </w:r>
      <w:r>
        <w:rPr>
          <w:rFonts w:ascii="Arial" w:cs="Arial" w:eastAsia="Arial" w:hAnsi="Arial"/>
          <w:sz w:val="18"/>
          <w:szCs w:val="18"/>
          <w:color w:val="242123"/>
        </w:rPr>
        <w:t xml:space="preserve"> bonus of </w:t>
      </w:r>
      <w:r>
        <w:rPr>
          <w:rFonts w:ascii="Arial" w:cs="Arial" w:eastAsia="Arial" w:hAnsi="Arial"/>
          <w:sz w:val="18"/>
          <w:szCs w:val="18"/>
          <w:color w:val="383436"/>
        </w:rPr>
        <w:t>$295,000</w:t>
      </w:r>
      <w:r>
        <w:rPr>
          <w:rFonts w:ascii="Arial" w:cs="Arial" w:eastAsia="Arial" w:hAnsi="Arial"/>
          <w:sz w:val="18"/>
          <w:szCs w:val="18"/>
          <w:color w:val="242123"/>
        </w:rPr>
        <w:t xml:space="preserve"> to be </w:t>
      </w:r>
      <w:r>
        <w:rPr>
          <w:rFonts w:ascii="Arial" w:cs="Arial" w:eastAsia="Arial" w:hAnsi="Arial"/>
          <w:sz w:val="18"/>
          <w:szCs w:val="18"/>
          <w:color w:val="383436"/>
        </w:rPr>
        <w:t>granted in</w:t>
      </w:r>
      <w:r>
        <w:rPr>
          <w:rFonts w:ascii="Arial" w:cs="Arial" w:eastAsia="Arial" w:hAnsi="Arial"/>
          <w:sz w:val="18"/>
          <w:szCs w:val="18"/>
          <w:color w:val="242123"/>
        </w:rPr>
        <w:t xml:space="preserve"> restricted </w:t>
      </w:r>
      <w:r>
        <w:rPr>
          <w:rFonts w:ascii="Arial" w:cs="Arial" w:eastAsia="Arial" w:hAnsi="Arial"/>
          <w:sz w:val="18"/>
          <w:szCs w:val="18"/>
          <w:color w:val="383436"/>
        </w:rPr>
        <w:t>stock</w:t>
      </w:r>
      <w:r>
        <w:rPr>
          <w:rFonts w:ascii="Arial" w:cs="Arial" w:eastAsia="Arial" w:hAnsi="Arial"/>
          <w:sz w:val="18"/>
          <w:szCs w:val="18"/>
          <w:color w:val="242123"/>
        </w:rPr>
        <w:t xml:space="preserve"> units. The restricted stock units </w:t>
      </w:r>
      <w:r>
        <w:rPr>
          <w:rFonts w:ascii="Arial" w:cs="Arial" w:eastAsia="Arial" w:hAnsi="Arial"/>
          <w:sz w:val="18"/>
          <w:szCs w:val="18"/>
          <w:color w:val="383436"/>
        </w:rPr>
        <w:t>will</w:t>
      </w:r>
      <w:r>
        <w:rPr>
          <w:rFonts w:ascii="Arial" w:cs="Arial" w:eastAsia="Arial" w:hAnsi="Arial"/>
          <w:sz w:val="18"/>
          <w:szCs w:val="18"/>
          <w:color w:val="242123"/>
        </w:rPr>
        <w:t xml:space="preserve"> be </w:t>
      </w:r>
      <w:r>
        <w:rPr>
          <w:rFonts w:ascii="Arial" w:cs="Arial" w:eastAsia="Arial" w:hAnsi="Arial"/>
          <w:sz w:val="18"/>
          <w:szCs w:val="18"/>
          <w:color w:val="383436"/>
        </w:rPr>
        <w:t>vested</w:t>
      </w:r>
      <w:r>
        <w:rPr>
          <w:rFonts w:ascii="Arial" w:cs="Arial" w:eastAsia="Arial" w:hAnsi="Arial"/>
          <w:sz w:val="18"/>
          <w:szCs w:val="18"/>
          <w:color w:val="242123"/>
        </w:rPr>
        <w:t xml:space="preserve"> as follows: </w:t>
      </w:r>
      <w:r>
        <w:rPr>
          <w:rFonts w:ascii="Arial" w:cs="Arial" w:eastAsia="Arial" w:hAnsi="Arial"/>
          <w:sz w:val="18"/>
          <w:szCs w:val="18"/>
          <w:color w:val="383436"/>
        </w:rPr>
        <w:t>50% on</w:t>
      </w:r>
      <w:r>
        <w:rPr>
          <w:rFonts w:ascii="Arial" w:cs="Arial" w:eastAsia="Arial" w:hAnsi="Arial"/>
          <w:sz w:val="18"/>
          <w:szCs w:val="18"/>
          <w:color w:val="242123"/>
        </w:rPr>
        <w:t xml:space="preserve"> the </w:t>
      </w:r>
      <w:r>
        <w:rPr>
          <w:rFonts w:ascii="Arial" w:cs="Arial" w:eastAsia="Arial" w:hAnsi="Arial"/>
          <w:sz w:val="18"/>
          <w:szCs w:val="18"/>
          <w:color w:val="383436"/>
        </w:rPr>
        <w:t>two year anniversary of</w:t>
      </w:r>
      <w:r>
        <w:rPr>
          <w:rFonts w:ascii="Arial" w:cs="Arial" w:eastAsia="Arial" w:hAnsi="Arial"/>
          <w:sz w:val="18"/>
          <w:szCs w:val="18"/>
          <w:color w:val="242123"/>
        </w:rPr>
        <w:t xml:space="preserve"> the stock </w:t>
      </w:r>
      <w:r>
        <w:rPr>
          <w:rFonts w:ascii="Arial" w:cs="Arial" w:eastAsia="Arial" w:hAnsi="Arial"/>
          <w:sz w:val="18"/>
          <w:szCs w:val="18"/>
          <w:color w:val="383436"/>
        </w:rPr>
        <w:t>grant</w:t>
      </w:r>
      <w:r>
        <w:rPr>
          <w:rFonts w:ascii="Arial" w:cs="Arial" w:eastAsia="Arial" w:hAnsi="Arial"/>
          <w:sz w:val="18"/>
          <w:szCs w:val="18"/>
          <w:color w:val="242123"/>
        </w:rPr>
        <w:t xml:space="preserve"> date </w:t>
      </w:r>
      <w:r>
        <w:rPr>
          <w:rFonts w:ascii="Arial" w:cs="Arial" w:eastAsia="Arial" w:hAnsi="Arial"/>
          <w:sz w:val="18"/>
          <w:szCs w:val="18"/>
          <w:color w:val="383436"/>
        </w:rPr>
        <w:t>and</w:t>
      </w:r>
      <w:r>
        <w:rPr>
          <w:rFonts w:ascii="Arial" w:cs="Arial" w:eastAsia="Arial" w:hAnsi="Arial"/>
          <w:sz w:val="18"/>
          <w:szCs w:val="18"/>
          <w:color w:val="242123"/>
        </w:rPr>
        <w:t xml:space="preserve"> 50% </w:t>
      </w:r>
      <w:r>
        <w:rPr>
          <w:rFonts w:ascii="Arial" w:cs="Arial" w:eastAsia="Arial" w:hAnsi="Arial"/>
          <w:sz w:val="18"/>
          <w:szCs w:val="18"/>
          <w:color w:val="383436"/>
        </w:rPr>
        <w:t>on</w:t>
      </w:r>
      <w:r>
        <w:rPr>
          <w:rFonts w:ascii="Arial" w:cs="Arial" w:eastAsia="Arial" w:hAnsi="Arial"/>
          <w:sz w:val="18"/>
          <w:szCs w:val="18"/>
          <w:color w:val="242123"/>
        </w:rPr>
        <w:t xml:space="preserve"> the three </w:t>
      </w:r>
      <w:r>
        <w:rPr>
          <w:rFonts w:ascii="Arial" w:cs="Arial" w:eastAsia="Arial" w:hAnsi="Arial"/>
          <w:sz w:val="18"/>
          <w:szCs w:val="18"/>
          <w:color w:val="383436"/>
        </w:rPr>
        <w:t>year anniversary</w:t>
      </w:r>
      <w:r>
        <w:rPr>
          <w:rFonts w:ascii="Arial" w:cs="Arial" w:eastAsia="Arial" w:hAnsi="Arial"/>
          <w:sz w:val="18"/>
          <w:szCs w:val="18"/>
          <w:color w:val="242123"/>
        </w:rPr>
        <w:t xml:space="preserve"> of the </w:t>
      </w:r>
      <w:r>
        <w:rPr>
          <w:rFonts w:ascii="Arial" w:cs="Arial" w:eastAsia="Arial" w:hAnsi="Arial"/>
          <w:sz w:val="18"/>
          <w:szCs w:val="18"/>
          <w:color w:val="383436"/>
        </w:rPr>
        <w:t>stock grant</w:t>
      </w:r>
      <w:r>
        <w:rPr>
          <w:rFonts w:ascii="Arial" w:cs="Arial" w:eastAsia="Arial" w:hAnsi="Arial"/>
          <w:sz w:val="18"/>
          <w:szCs w:val="18"/>
          <w:color w:val="242123"/>
        </w:rPr>
        <w:t xml:space="preserve"> date.</w:t>
      </w:r>
    </w:p>
    <w:p>
      <w:pPr>
        <w:spacing w:after="0" w:line="189" w:lineRule="exact"/>
        <w:rPr>
          <w:sz w:val="20"/>
          <w:szCs w:val="20"/>
          <w:color w:val="auto"/>
        </w:rPr>
      </w:pPr>
    </w:p>
    <w:p>
      <w:pPr>
        <w:jc w:val="both"/>
        <w:ind w:left="900"/>
        <w:spacing w:after="0"/>
        <w:rPr>
          <w:sz w:val="20"/>
          <w:szCs w:val="20"/>
          <w:color w:val="auto"/>
        </w:rPr>
      </w:pPr>
      <w:r>
        <w:rPr>
          <w:rFonts w:ascii="Arial" w:cs="Arial" w:eastAsia="Arial" w:hAnsi="Arial"/>
          <w:sz w:val="18"/>
          <w:szCs w:val="18"/>
          <w:color w:val="242123"/>
        </w:rPr>
        <w:t xml:space="preserve">In the </w:t>
      </w:r>
      <w:r>
        <w:rPr>
          <w:rFonts w:ascii="Arial" w:cs="Arial" w:eastAsia="Arial" w:hAnsi="Arial"/>
          <w:sz w:val="18"/>
          <w:szCs w:val="18"/>
          <w:color w:val="383436"/>
        </w:rPr>
        <w:t>event</w:t>
      </w:r>
      <w:r>
        <w:rPr>
          <w:rFonts w:ascii="Arial" w:cs="Arial" w:eastAsia="Arial" w:hAnsi="Arial"/>
          <w:sz w:val="18"/>
          <w:szCs w:val="18"/>
          <w:color w:val="242123"/>
        </w:rPr>
        <w:t xml:space="preserve"> you </w:t>
      </w:r>
      <w:r>
        <w:rPr>
          <w:rFonts w:ascii="Arial" w:cs="Arial" w:eastAsia="Arial" w:hAnsi="Arial"/>
          <w:sz w:val="18"/>
          <w:szCs w:val="18"/>
          <w:color w:val="383436"/>
        </w:rPr>
        <w:t>voluntarily</w:t>
      </w:r>
      <w:r>
        <w:rPr>
          <w:rFonts w:ascii="Arial" w:cs="Arial" w:eastAsia="Arial" w:hAnsi="Arial"/>
          <w:sz w:val="18"/>
          <w:szCs w:val="18"/>
          <w:color w:val="242123"/>
        </w:rPr>
        <w:t xml:space="preserve"> terminate </w:t>
      </w:r>
      <w:r>
        <w:rPr>
          <w:rFonts w:ascii="Arial" w:cs="Arial" w:eastAsia="Arial" w:hAnsi="Arial"/>
          <w:sz w:val="18"/>
          <w:szCs w:val="18"/>
          <w:color w:val="383436"/>
        </w:rPr>
        <w:t>your employment</w:t>
      </w:r>
      <w:r>
        <w:rPr>
          <w:rFonts w:ascii="Arial" w:cs="Arial" w:eastAsia="Arial" w:hAnsi="Arial"/>
          <w:sz w:val="18"/>
          <w:szCs w:val="18"/>
          <w:color w:val="242123"/>
        </w:rPr>
        <w:t xml:space="preserve"> with Allstate within </w:t>
      </w:r>
      <w:r>
        <w:rPr>
          <w:rFonts w:ascii="Arial" w:cs="Arial" w:eastAsia="Arial" w:hAnsi="Arial"/>
          <w:sz w:val="18"/>
          <w:szCs w:val="18"/>
          <w:color w:val="383436"/>
        </w:rPr>
        <w:t>24</w:t>
      </w:r>
      <w:r>
        <w:rPr>
          <w:rFonts w:ascii="Arial" w:cs="Arial" w:eastAsia="Arial" w:hAnsi="Arial"/>
          <w:sz w:val="18"/>
          <w:szCs w:val="18"/>
          <w:color w:val="242123"/>
        </w:rPr>
        <w:t xml:space="preserve"> months </w:t>
      </w:r>
      <w:r>
        <w:rPr>
          <w:rFonts w:ascii="Arial" w:cs="Arial" w:eastAsia="Arial" w:hAnsi="Arial"/>
          <w:sz w:val="18"/>
          <w:szCs w:val="18"/>
          <w:color w:val="383436"/>
        </w:rPr>
        <w:t>of your date of</w:t>
      </w:r>
      <w:r>
        <w:rPr>
          <w:rFonts w:ascii="Arial" w:cs="Arial" w:eastAsia="Arial" w:hAnsi="Arial"/>
          <w:sz w:val="18"/>
          <w:szCs w:val="18"/>
          <w:color w:val="242123"/>
        </w:rPr>
        <w:t xml:space="preserve"> hire, you </w:t>
      </w:r>
      <w:r>
        <w:rPr>
          <w:rFonts w:ascii="Arial" w:cs="Arial" w:eastAsia="Arial" w:hAnsi="Arial"/>
          <w:sz w:val="18"/>
          <w:szCs w:val="18"/>
          <w:color w:val="383436"/>
        </w:rPr>
        <w:t>agree</w:t>
      </w:r>
      <w:r>
        <w:rPr>
          <w:rFonts w:ascii="Arial" w:cs="Arial" w:eastAsia="Arial" w:hAnsi="Arial"/>
          <w:sz w:val="18"/>
          <w:szCs w:val="18"/>
          <w:color w:val="242123"/>
        </w:rPr>
        <w:t xml:space="preserve"> to reimburse </w:t>
      </w:r>
      <w:r>
        <w:rPr>
          <w:rFonts w:ascii="Arial" w:cs="Arial" w:eastAsia="Arial" w:hAnsi="Arial"/>
          <w:sz w:val="18"/>
          <w:szCs w:val="18"/>
          <w:color w:val="383436"/>
        </w:rPr>
        <w:t>Allstate within 30 days of</w:t>
      </w:r>
      <w:r>
        <w:rPr>
          <w:rFonts w:ascii="Arial" w:cs="Arial" w:eastAsia="Arial" w:hAnsi="Arial"/>
          <w:sz w:val="18"/>
          <w:szCs w:val="18"/>
          <w:color w:val="242123"/>
        </w:rPr>
        <w:t xml:space="preserve"> the date of </w:t>
      </w:r>
      <w:r>
        <w:rPr>
          <w:rFonts w:ascii="Arial" w:cs="Arial" w:eastAsia="Arial" w:hAnsi="Arial"/>
          <w:sz w:val="18"/>
          <w:szCs w:val="18"/>
          <w:color w:val="383436"/>
        </w:rPr>
        <w:t>your</w:t>
      </w:r>
      <w:r>
        <w:rPr>
          <w:rFonts w:ascii="Arial" w:cs="Arial" w:eastAsia="Arial" w:hAnsi="Arial"/>
          <w:sz w:val="18"/>
          <w:szCs w:val="18"/>
          <w:color w:val="242123"/>
        </w:rPr>
        <w:t xml:space="preserve"> termination, the prorated remaining portion </w:t>
      </w:r>
      <w:r>
        <w:rPr>
          <w:rFonts w:ascii="Arial" w:cs="Arial" w:eastAsia="Arial" w:hAnsi="Arial"/>
          <w:sz w:val="18"/>
          <w:szCs w:val="18"/>
          <w:color w:val="383436"/>
        </w:rPr>
        <w:t xml:space="preserve">of your cash sign-on </w:t>
      </w:r>
      <w:r>
        <w:rPr>
          <w:rFonts w:ascii="Arial" w:cs="Arial" w:eastAsia="Arial" w:hAnsi="Arial"/>
          <w:sz w:val="18"/>
          <w:szCs w:val="18"/>
          <w:color w:val="242123"/>
        </w:rPr>
        <w:t>bonus.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242123"/>
        </w:rPr>
        <w:t>Restrictive Covenants and Other Obligations Arising from Prior Employment:</w:t>
      </w:r>
    </w:p>
    <w:p>
      <w:pPr>
        <w:spacing w:after="0" w:line="220" w:lineRule="exact"/>
        <w:rPr>
          <w:sz w:val="20"/>
          <w:szCs w:val="20"/>
          <w:color w:val="auto"/>
        </w:rPr>
      </w:pPr>
    </w:p>
    <w:p>
      <w:pPr>
        <w:ind w:left="900" w:right="80"/>
        <w:spacing w:after="0" w:line="236" w:lineRule="auto"/>
        <w:rPr>
          <w:sz w:val="20"/>
          <w:szCs w:val="20"/>
          <w:color w:val="auto"/>
        </w:rPr>
      </w:pPr>
      <w:r>
        <w:rPr>
          <w:rFonts w:ascii="Arial" w:cs="Arial" w:eastAsia="Arial" w:hAnsi="Arial"/>
          <w:sz w:val="18"/>
          <w:szCs w:val="18"/>
          <w:color w:val="383436"/>
        </w:rPr>
        <w:t xml:space="preserve">Allstate expects </w:t>
      </w:r>
      <w:r>
        <w:rPr>
          <w:rFonts w:ascii="Arial" w:cs="Arial" w:eastAsia="Arial" w:hAnsi="Arial"/>
          <w:sz w:val="18"/>
          <w:szCs w:val="18"/>
          <w:color w:val="242123"/>
        </w:rPr>
        <w:t>its</w:t>
      </w:r>
      <w:r>
        <w:rPr>
          <w:rFonts w:ascii="Arial" w:cs="Arial" w:eastAsia="Arial" w:hAnsi="Arial"/>
          <w:sz w:val="18"/>
          <w:szCs w:val="18"/>
          <w:color w:val="383436"/>
        </w:rPr>
        <w:t xml:space="preserve"> employees </w:t>
      </w:r>
      <w:r>
        <w:rPr>
          <w:rFonts w:ascii="Arial" w:cs="Arial" w:eastAsia="Arial" w:hAnsi="Arial"/>
          <w:sz w:val="18"/>
          <w:szCs w:val="18"/>
          <w:color w:val="242123"/>
        </w:rPr>
        <w:t>to</w:t>
      </w:r>
      <w:r>
        <w:rPr>
          <w:rFonts w:ascii="Arial" w:cs="Arial" w:eastAsia="Arial" w:hAnsi="Arial"/>
          <w:sz w:val="18"/>
          <w:szCs w:val="18"/>
          <w:color w:val="383436"/>
        </w:rPr>
        <w:t xml:space="preserve"> comply </w:t>
      </w:r>
      <w:r>
        <w:rPr>
          <w:rFonts w:ascii="Arial" w:cs="Arial" w:eastAsia="Arial" w:hAnsi="Arial"/>
          <w:sz w:val="18"/>
          <w:szCs w:val="18"/>
          <w:color w:val="242123"/>
        </w:rPr>
        <w:t>with the terms</w:t>
      </w:r>
      <w:r>
        <w:rPr>
          <w:rFonts w:ascii="Arial" w:cs="Arial" w:eastAsia="Arial" w:hAnsi="Arial"/>
          <w:sz w:val="18"/>
          <w:szCs w:val="18"/>
          <w:color w:val="383436"/>
        </w:rPr>
        <w:t xml:space="preserve"> of </w:t>
      </w:r>
      <w:r>
        <w:rPr>
          <w:rFonts w:ascii="Arial" w:cs="Arial" w:eastAsia="Arial" w:hAnsi="Arial"/>
          <w:sz w:val="18"/>
          <w:szCs w:val="18"/>
          <w:color w:val="242123"/>
        </w:rPr>
        <w:t>any restrictive</w:t>
      </w:r>
      <w:r>
        <w:rPr>
          <w:rFonts w:ascii="Arial" w:cs="Arial" w:eastAsia="Arial" w:hAnsi="Arial"/>
          <w:sz w:val="18"/>
          <w:szCs w:val="18"/>
          <w:color w:val="383436"/>
        </w:rPr>
        <w:t xml:space="preserve"> covenants </w:t>
      </w:r>
      <w:r>
        <w:rPr>
          <w:rFonts w:ascii="Arial" w:cs="Arial" w:eastAsia="Arial" w:hAnsi="Arial"/>
          <w:sz w:val="18"/>
          <w:szCs w:val="18"/>
          <w:color w:val="242123"/>
        </w:rPr>
        <w:t>and</w:t>
      </w:r>
      <w:r>
        <w:rPr>
          <w:rFonts w:ascii="Arial" w:cs="Arial" w:eastAsia="Arial" w:hAnsi="Arial"/>
          <w:sz w:val="18"/>
          <w:szCs w:val="18"/>
          <w:color w:val="383436"/>
        </w:rPr>
        <w:t xml:space="preserve"> other obligations, </w:t>
      </w:r>
      <w:r>
        <w:rPr>
          <w:rFonts w:ascii="Arial" w:cs="Arial" w:eastAsia="Arial" w:hAnsi="Arial"/>
          <w:sz w:val="18"/>
          <w:szCs w:val="18"/>
          <w:color w:val="242123"/>
        </w:rPr>
        <w:t>including</w:t>
      </w:r>
      <w:r>
        <w:rPr>
          <w:rFonts w:ascii="Arial" w:cs="Arial" w:eastAsia="Arial" w:hAnsi="Arial"/>
          <w:sz w:val="18"/>
          <w:szCs w:val="18"/>
          <w:color w:val="383436"/>
        </w:rPr>
        <w:t xml:space="preserve"> </w:t>
      </w:r>
      <w:r>
        <w:rPr>
          <w:rFonts w:ascii="Arial" w:cs="Arial" w:eastAsia="Arial" w:hAnsi="Arial"/>
          <w:sz w:val="18"/>
          <w:szCs w:val="18"/>
          <w:color w:val="242123"/>
        </w:rPr>
        <w:t xml:space="preserve">but not </w:t>
      </w:r>
      <w:r>
        <w:rPr>
          <w:rFonts w:ascii="Arial" w:cs="Arial" w:eastAsia="Arial" w:hAnsi="Arial"/>
          <w:sz w:val="18"/>
          <w:szCs w:val="18"/>
          <w:color w:val="383436"/>
        </w:rPr>
        <w:t>limited</w:t>
      </w:r>
      <w:r>
        <w:rPr>
          <w:rFonts w:ascii="Arial" w:cs="Arial" w:eastAsia="Arial" w:hAnsi="Arial"/>
          <w:sz w:val="18"/>
          <w:szCs w:val="18"/>
          <w:color w:val="242123"/>
        </w:rPr>
        <w:t xml:space="preserve"> to non</w:t>
      </w:r>
      <w:r>
        <w:rPr>
          <w:rFonts w:ascii="Arial" w:cs="Arial" w:eastAsia="Arial" w:hAnsi="Arial"/>
          <w:sz w:val="18"/>
          <w:szCs w:val="18"/>
          <w:color w:val="575757"/>
        </w:rPr>
        <w:t>-</w:t>
      </w:r>
      <w:r>
        <w:rPr>
          <w:rFonts w:ascii="Arial" w:cs="Arial" w:eastAsia="Arial" w:hAnsi="Arial"/>
          <w:sz w:val="18"/>
          <w:szCs w:val="18"/>
          <w:color w:val="383436"/>
        </w:rPr>
        <w:t>solicitation</w:t>
      </w:r>
      <w:r>
        <w:rPr>
          <w:rFonts w:ascii="Arial" w:cs="Arial" w:eastAsia="Arial" w:hAnsi="Arial"/>
          <w:sz w:val="18"/>
          <w:szCs w:val="18"/>
          <w:color w:val="242123"/>
        </w:rPr>
        <w:t xml:space="preserve"> and </w:t>
      </w:r>
      <w:r>
        <w:rPr>
          <w:rFonts w:ascii="Arial" w:cs="Arial" w:eastAsia="Arial" w:hAnsi="Arial"/>
          <w:sz w:val="18"/>
          <w:szCs w:val="18"/>
          <w:color w:val="383436"/>
        </w:rPr>
        <w:t>confidentiality</w:t>
      </w:r>
      <w:r>
        <w:rPr>
          <w:rFonts w:ascii="Arial" w:cs="Arial" w:eastAsia="Arial" w:hAnsi="Arial"/>
          <w:sz w:val="18"/>
          <w:szCs w:val="18"/>
          <w:color w:val="242123"/>
        </w:rPr>
        <w:t xml:space="preserve"> provisions, to </w:t>
      </w:r>
      <w:r>
        <w:rPr>
          <w:rFonts w:ascii="Arial" w:cs="Arial" w:eastAsia="Arial" w:hAnsi="Arial"/>
          <w:sz w:val="18"/>
          <w:szCs w:val="18"/>
          <w:color w:val="383436"/>
        </w:rPr>
        <w:t>which</w:t>
      </w:r>
      <w:r>
        <w:rPr>
          <w:rFonts w:ascii="Arial" w:cs="Arial" w:eastAsia="Arial" w:hAnsi="Arial"/>
          <w:sz w:val="18"/>
          <w:szCs w:val="18"/>
          <w:color w:val="242123"/>
        </w:rPr>
        <w:t xml:space="preserve"> they may </w:t>
      </w:r>
      <w:r>
        <w:rPr>
          <w:rFonts w:ascii="Arial" w:cs="Arial" w:eastAsia="Arial" w:hAnsi="Arial"/>
          <w:sz w:val="18"/>
          <w:szCs w:val="18"/>
          <w:color w:val="383436"/>
        </w:rPr>
        <w:t>be subject as a</w:t>
      </w:r>
      <w:r>
        <w:rPr>
          <w:rFonts w:ascii="Arial" w:cs="Arial" w:eastAsia="Arial" w:hAnsi="Arial"/>
          <w:sz w:val="18"/>
          <w:szCs w:val="18"/>
          <w:color w:val="242123"/>
        </w:rPr>
        <w:t xml:space="preserve"> result </w:t>
      </w:r>
      <w:r>
        <w:rPr>
          <w:rFonts w:ascii="Arial" w:cs="Arial" w:eastAsia="Arial" w:hAnsi="Arial"/>
          <w:sz w:val="18"/>
          <w:szCs w:val="18"/>
          <w:color w:val="383436"/>
        </w:rPr>
        <w:t>of</w:t>
      </w:r>
      <w:r>
        <w:rPr>
          <w:rFonts w:ascii="Arial" w:cs="Arial" w:eastAsia="Arial" w:hAnsi="Arial"/>
          <w:sz w:val="18"/>
          <w:szCs w:val="18"/>
          <w:color w:val="242123"/>
        </w:rPr>
        <w:t xml:space="preserve"> any former </w:t>
      </w:r>
      <w:r>
        <w:rPr>
          <w:rFonts w:ascii="Arial" w:cs="Arial" w:eastAsia="Arial" w:hAnsi="Arial"/>
          <w:sz w:val="18"/>
          <w:szCs w:val="18"/>
          <w:color w:val="383436"/>
        </w:rPr>
        <w:t>employment relationships</w:t>
      </w:r>
      <w:r>
        <w:rPr>
          <w:rFonts w:ascii="Arial" w:cs="Arial" w:eastAsia="Arial" w:hAnsi="Arial"/>
          <w:sz w:val="18"/>
          <w:szCs w:val="18"/>
          <w:color w:val="575757"/>
        </w:rPr>
        <w:t>.</w:t>
      </w:r>
      <w:r>
        <w:rPr>
          <w:rFonts w:ascii="Arial" w:cs="Arial" w:eastAsia="Arial" w:hAnsi="Arial"/>
          <w:sz w:val="18"/>
          <w:szCs w:val="18"/>
          <w:color w:val="242123"/>
        </w:rPr>
        <w:t xml:space="preserve"> By </w:t>
      </w:r>
      <w:r>
        <w:rPr>
          <w:rFonts w:ascii="Arial" w:cs="Arial" w:eastAsia="Arial" w:hAnsi="Arial"/>
          <w:sz w:val="18"/>
          <w:szCs w:val="18"/>
          <w:color w:val="383436"/>
        </w:rPr>
        <w:t>signing</w:t>
      </w:r>
      <w:r>
        <w:rPr>
          <w:rFonts w:ascii="Arial" w:cs="Arial" w:eastAsia="Arial" w:hAnsi="Arial"/>
          <w:sz w:val="18"/>
          <w:szCs w:val="18"/>
          <w:color w:val="242123"/>
        </w:rPr>
        <w:t xml:space="preserve"> this </w:t>
      </w:r>
      <w:r>
        <w:rPr>
          <w:rFonts w:ascii="Arial" w:cs="Arial" w:eastAsia="Arial" w:hAnsi="Arial"/>
          <w:sz w:val="18"/>
          <w:szCs w:val="18"/>
          <w:color w:val="383436"/>
        </w:rPr>
        <w:t>letter, you</w:t>
      </w:r>
      <w:r>
        <w:rPr>
          <w:rFonts w:ascii="Arial" w:cs="Arial" w:eastAsia="Arial" w:hAnsi="Arial"/>
          <w:sz w:val="18"/>
          <w:szCs w:val="18"/>
          <w:color w:val="242123"/>
        </w:rPr>
        <w:t xml:space="preserve"> represent that any </w:t>
      </w:r>
      <w:r>
        <w:rPr>
          <w:rFonts w:ascii="Arial" w:cs="Arial" w:eastAsia="Arial" w:hAnsi="Arial"/>
          <w:sz w:val="18"/>
          <w:szCs w:val="18"/>
          <w:color w:val="383436"/>
        </w:rPr>
        <w:t>such covenant or</w:t>
      </w:r>
      <w:r>
        <w:rPr>
          <w:rFonts w:ascii="Arial" w:cs="Arial" w:eastAsia="Arial" w:hAnsi="Arial"/>
          <w:sz w:val="18"/>
          <w:szCs w:val="18"/>
          <w:color w:val="242123"/>
        </w:rPr>
        <w:t xml:space="preserve"> obligation to </w:t>
      </w:r>
      <w:r>
        <w:rPr>
          <w:rFonts w:ascii="Arial" w:cs="Arial" w:eastAsia="Arial" w:hAnsi="Arial"/>
          <w:sz w:val="18"/>
          <w:szCs w:val="18"/>
          <w:color w:val="383436"/>
        </w:rPr>
        <w:t>which</w:t>
      </w:r>
      <w:r>
        <w:rPr>
          <w:rFonts w:ascii="Arial" w:cs="Arial" w:eastAsia="Arial" w:hAnsi="Arial"/>
          <w:sz w:val="18"/>
          <w:szCs w:val="18"/>
          <w:color w:val="242123"/>
        </w:rPr>
        <w:t xml:space="preserve"> </w:t>
      </w:r>
      <w:r>
        <w:rPr>
          <w:rFonts w:ascii="Arial" w:cs="Arial" w:eastAsia="Arial" w:hAnsi="Arial"/>
          <w:sz w:val="18"/>
          <w:szCs w:val="18"/>
          <w:color w:val="383436"/>
        </w:rPr>
        <w:t xml:space="preserve">you </w:t>
      </w:r>
      <w:r>
        <w:rPr>
          <w:rFonts w:ascii="Arial" w:cs="Arial" w:eastAsia="Arial" w:hAnsi="Arial"/>
          <w:sz w:val="18"/>
          <w:szCs w:val="18"/>
          <w:color w:val="242123"/>
        </w:rPr>
        <w:t>may be subject is not an impediment to</w:t>
      </w:r>
      <w:r>
        <w:rPr>
          <w:rFonts w:ascii="Arial" w:cs="Arial" w:eastAsia="Arial" w:hAnsi="Arial"/>
          <w:sz w:val="18"/>
          <w:szCs w:val="18"/>
          <w:color w:val="383436"/>
        </w:rPr>
        <w:t xml:space="preserve"> accepting </w:t>
      </w:r>
      <w:r>
        <w:rPr>
          <w:rFonts w:ascii="Arial" w:cs="Arial" w:eastAsia="Arial" w:hAnsi="Arial"/>
          <w:sz w:val="18"/>
          <w:szCs w:val="18"/>
          <w:color w:val="242123"/>
        </w:rPr>
        <w:t>employment</w:t>
      </w:r>
      <w:r>
        <w:rPr>
          <w:rFonts w:ascii="Arial" w:cs="Arial" w:eastAsia="Arial" w:hAnsi="Arial"/>
          <w:sz w:val="18"/>
          <w:szCs w:val="18"/>
          <w:color w:val="383436"/>
        </w:rPr>
        <w:t xml:space="preserve"> with</w:t>
      </w:r>
      <w:r>
        <w:rPr>
          <w:rFonts w:ascii="Arial" w:cs="Arial" w:eastAsia="Arial" w:hAnsi="Arial"/>
          <w:sz w:val="18"/>
          <w:szCs w:val="18"/>
          <w:color w:val="575757"/>
        </w:rPr>
        <w:t>,</w:t>
      </w:r>
      <w:r>
        <w:rPr>
          <w:rFonts w:ascii="Arial" w:cs="Arial" w:eastAsia="Arial" w:hAnsi="Arial"/>
          <w:sz w:val="18"/>
          <w:szCs w:val="18"/>
          <w:color w:val="383436"/>
        </w:rPr>
        <w:t xml:space="preserve"> or </w:t>
      </w:r>
      <w:r>
        <w:rPr>
          <w:rFonts w:ascii="Arial" w:cs="Arial" w:eastAsia="Arial" w:hAnsi="Arial"/>
          <w:sz w:val="18"/>
          <w:szCs w:val="18"/>
          <w:color w:val="242123"/>
        </w:rPr>
        <w:t>performing</w:t>
      </w:r>
      <w:r>
        <w:rPr>
          <w:rFonts w:ascii="Arial" w:cs="Arial" w:eastAsia="Arial" w:hAnsi="Arial"/>
          <w:sz w:val="18"/>
          <w:szCs w:val="18"/>
          <w:color w:val="383436"/>
        </w:rPr>
        <w:t xml:space="preserve"> services for, Allstate. </w:t>
      </w:r>
      <w:r>
        <w:rPr>
          <w:rFonts w:ascii="Arial" w:cs="Arial" w:eastAsia="Arial" w:hAnsi="Arial"/>
          <w:sz w:val="18"/>
          <w:szCs w:val="18"/>
          <w:color w:val="242123"/>
        </w:rPr>
        <w:t>In</w:t>
      </w:r>
      <w:r>
        <w:rPr>
          <w:rFonts w:ascii="Arial" w:cs="Arial" w:eastAsia="Arial" w:hAnsi="Arial"/>
          <w:sz w:val="18"/>
          <w:szCs w:val="18"/>
          <w:color w:val="383436"/>
        </w:rPr>
        <w:t xml:space="preserve"> your position at </w:t>
      </w:r>
      <w:r>
        <w:rPr>
          <w:rFonts w:ascii="Arial" w:cs="Arial" w:eastAsia="Arial" w:hAnsi="Arial"/>
          <w:sz w:val="18"/>
          <w:szCs w:val="18"/>
          <w:color w:val="242123"/>
        </w:rPr>
        <w:t>Liberty Mutual Insurance,</w:t>
      </w:r>
      <w:r>
        <w:rPr>
          <w:rFonts w:ascii="Arial" w:cs="Arial" w:eastAsia="Arial" w:hAnsi="Arial"/>
          <w:sz w:val="18"/>
          <w:szCs w:val="18"/>
          <w:color w:val="383436"/>
        </w:rPr>
        <w:t xml:space="preserve"> you </w:t>
      </w:r>
      <w:r>
        <w:rPr>
          <w:rFonts w:ascii="Arial" w:cs="Arial" w:eastAsia="Arial" w:hAnsi="Arial"/>
          <w:sz w:val="18"/>
          <w:szCs w:val="18"/>
          <w:color w:val="242123"/>
        </w:rPr>
        <w:t>may have been</w:t>
      </w:r>
      <w:r>
        <w:rPr>
          <w:rFonts w:ascii="Arial" w:cs="Arial" w:eastAsia="Arial" w:hAnsi="Arial"/>
          <w:sz w:val="18"/>
          <w:szCs w:val="18"/>
          <w:color w:val="383436"/>
        </w:rPr>
        <w:t xml:space="preserve"> exposed </w:t>
      </w:r>
      <w:r>
        <w:rPr>
          <w:rFonts w:ascii="Arial" w:cs="Arial" w:eastAsia="Arial" w:hAnsi="Arial"/>
          <w:sz w:val="18"/>
          <w:szCs w:val="18"/>
          <w:color w:val="242123"/>
        </w:rPr>
        <w:t>to</w:t>
      </w:r>
      <w:r>
        <w:rPr>
          <w:rFonts w:ascii="Arial" w:cs="Arial" w:eastAsia="Arial" w:hAnsi="Arial"/>
          <w:sz w:val="18"/>
          <w:szCs w:val="18"/>
          <w:color w:val="383436"/>
        </w:rPr>
        <w:t xml:space="preserve"> confidential </w:t>
      </w:r>
      <w:r>
        <w:rPr>
          <w:rFonts w:ascii="Arial" w:cs="Arial" w:eastAsia="Arial" w:hAnsi="Arial"/>
          <w:sz w:val="18"/>
          <w:szCs w:val="18"/>
          <w:color w:val="242123"/>
        </w:rPr>
        <w:t>information</w:t>
      </w:r>
      <w:r>
        <w:rPr>
          <w:rFonts w:ascii="Arial" w:cs="Arial" w:eastAsia="Arial" w:hAnsi="Arial"/>
          <w:sz w:val="18"/>
          <w:szCs w:val="18"/>
          <w:color w:val="383436"/>
        </w:rPr>
        <w:t xml:space="preserve"> and </w:t>
      </w:r>
      <w:r>
        <w:rPr>
          <w:rFonts w:ascii="Arial" w:cs="Arial" w:eastAsia="Arial" w:hAnsi="Arial"/>
          <w:sz w:val="18"/>
          <w:szCs w:val="18"/>
          <w:color w:val="242123"/>
        </w:rPr>
        <w:t>trade</w:t>
      </w:r>
      <w:r>
        <w:rPr>
          <w:rFonts w:ascii="Arial" w:cs="Arial" w:eastAsia="Arial" w:hAnsi="Arial"/>
          <w:sz w:val="18"/>
          <w:szCs w:val="18"/>
          <w:color w:val="383436"/>
        </w:rPr>
        <w:t xml:space="preserve"> secrets</w:t>
      </w:r>
      <w:r>
        <w:rPr>
          <w:rFonts w:ascii="Arial" w:cs="Arial" w:eastAsia="Arial" w:hAnsi="Arial"/>
          <w:sz w:val="18"/>
          <w:szCs w:val="18"/>
          <w:color w:val="575757"/>
        </w:rPr>
        <w:t>.</w:t>
      </w:r>
      <w:r>
        <w:rPr>
          <w:rFonts w:ascii="Arial" w:cs="Arial" w:eastAsia="Arial" w:hAnsi="Arial"/>
          <w:sz w:val="18"/>
          <w:szCs w:val="18"/>
          <w:color w:val="383436"/>
        </w:rPr>
        <w:t xml:space="preserve"> </w:t>
      </w:r>
      <w:r>
        <w:rPr>
          <w:rFonts w:ascii="Arial" w:cs="Arial" w:eastAsia="Arial" w:hAnsi="Arial"/>
          <w:sz w:val="18"/>
          <w:szCs w:val="18"/>
          <w:color w:val="242123"/>
        </w:rPr>
        <w:t>In</w:t>
      </w:r>
      <w:r>
        <w:rPr>
          <w:rFonts w:ascii="Arial" w:cs="Arial" w:eastAsia="Arial" w:hAnsi="Arial"/>
          <w:sz w:val="18"/>
          <w:szCs w:val="18"/>
          <w:color w:val="383436"/>
        </w:rPr>
        <w:t xml:space="preserve"> the </w:t>
      </w:r>
      <w:r>
        <w:rPr>
          <w:rFonts w:ascii="Arial" w:cs="Arial" w:eastAsia="Arial" w:hAnsi="Arial"/>
          <w:sz w:val="18"/>
          <w:szCs w:val="18"/>
          <w:color w:val="242123"/>
        </w:rPr>
        <w:t>event that</w:t>
      </w:r>
      <w:r>
        <w:rPr>
          <w:rFonts w:ascii="Arial" w:cs="Arial" w:eastAsia="Arial" w:hAnsi="Arial"/>
          <w:sz w:val="18"/>
          <w:szCs w:val="18"/>
          <w:color w:val="383436"/>
        </w:rPr>
        <w:t xml:space="preserve"> you come </w:t>
      </w:r>
      <w:r>
        <w:rPr>
          <w:rFonts w:ascii="Arial" w:cs="Arial" w:eastAsia="Arial" w:hAnsi="Arial"/>
          <w:sz w:val="18"/>
          <w:szCs w:val="18"/>
          <w:color w:val="242123"/>
        </w:rPr>
        <w:t>to</w:t>
      </w:r>
      <w:r>
        <w:rPr>
          <w:rFonts w:ascii="Arial" w:cs="Arial" w:eastAsia="Arial" w:hAnsi="Arial"/>
          <w:sz w:val="18"/>
          <w:szCs w:val="18"/>
          <w:color w:val="383436"/>
        </w:rPr>
        <w:t xml:space="preserve"> work </w:t>
      </w:r>
      <w:r>
        <w:rPr>
          <w:rFonts w:ascii="Arial" w:cs="Arial" w:eastAsia="Arial" w:hAnsi="Arial"/>
          <w:sz w:val="18"/>
          <w:szCs w:val="18"/>
          <w:color w:val="242123"/>
        </w:rPr>
        <w:t>at</w:t>
      </w:r>
      <w:r>
        <w:rPr>
          <w:rFonts w:ascii="Arial" w:cs="Arial" w:eastAsia="Arial" w:hAnsi="Arial"/>
          <w:sz w:val="18"/>
          <w:szCs w:val="18"/>
          <w:color w:val="383436"/>
        </w:rPr>
        <w:t xml:space="preserve"> Allstate, we would expect </w:t>
      </w:r>
      <w:r>
        <w:rPr>
          <w:rFonts w:ascii="Arial" w:cs="Arial" w:eastAsia="Arial" w:hAnsi="Arial"/>
          <w:sz w:val="18"/>
          <w:szCs w:val="18"/>
          <w:color w:val="242123"/>
        </w:rPr>
        <w:t>that</w:t>
      </w:r>
      <w:r>
        <w:rPr>
          <w:rFonts w:ascii="Arial" w:cs="Arial" w:eastAsia="Arial" w:hAnsi="Arial"/>
          <w:sz w:val="18"/>
          <w:szCs w:val="18"/>
          <w:color w:val="383436"/>
        </w:rPr>
        <w:t xml:space="preserve"> you would </w:t>
      </w:r>
      <w:r>
        <w:rPr>
          <w:rFonts w:ascii="Arial" w:cs="Arial" w:eastAsia="Arial" w:hAnsi="Arial"/>
          <w:sz w:val="18"/>
          <w:szCs w:val="18"/>
          <w:color w:val="242123"/>
        </w:rPr>
        <w:t>not disclose</w:t>
      </w:r>
      <w:r>
        <w:rPr>
          <w:rFonts w:ascii="Arial" w:cs="Arial" w:eastAsia="Arial" w:hAnsi="Arial"/>
          <w:sz w:val="18"/>
          <w:szCs w:val="18"/>
          <w:color w:val="383436"/>
        </w:rPr>
        <w:t xml:space="preserve"> or use </w:t>
      </w:r>
      <w:r>
        <w:rPr>
          <w:rFonts w:ascii="Arial" w:cs="Arial" w:eastAsia="Arial" w:hAnsi="Arial"/>
          <w:sz w:val="18"/>
          <w:szCs w:val="18"/>
          <w:color w:val="242123"/>
        </w:rPr>
        <w:t>any</w:t>
      </w:r>
      <w:r>
        <w:rPr>
          <w:rFonts w:ascii="Arial" w:cs="Arial" w:eastAsia="Arial" w:hAnsi="Arial"/>
          <w:sz w:val="18"/>
          <w:szCs w:val="18"/>
          <w:color w:val="383436"/>
        </w:rPr>
        <w:t xml:space="preserve"> of </w:t>
      </w:r>
      <w:r>
        <w:rPr>
          <w:rFonts w:ascii="Arial" w:cs="Arial" w:eastAsia="Arial" w:hAnsi="Arial"/>
          <w:sz w:val="18"/>
          <w:szCs w:val="18"/>
          <w:color w:val="242123"/>
        </w:rPr>
        <w:t>that</w:t>
      </w:r>
      <w:r>
        <w:rPr>
          <w:rFonts w:ascii="Arial" w:cs="Arial" w:eastAsia="Arial" w:hAnsi="Arial"/>
          <w:sz w:val="18"/>
          <w:szCs w:val="18"/>
          <w:color w:val="383436"/>
        </w:rPr>
        <w:t xml:space="preserve"> </w:t>
      </w:r>
      <w:r>
        <w:rPr>
          <w:rFonts w:ascii="Arial" w:cs="Arial" w:eastAsia="Arial" w:hAnsi="Arial"/>
          <w:sz w:val="18"/>
          <w:szCs w:val="18"/>
          <w:color w:val="242123"/>
        </w:rPr>
        <w:t xml:space="preserve">information </w:t>
      </w:r>
      <w:r>
        <w:rPr>
          <w:rFonts w:ascii="Arial" w:cs="Arial" w:eastAsia="Arial" w:hAnsi="Arial"/>
          <w:sz w:val="18"/>
          <w:szCs w:val="18"/>
          <w:color w:val="383436"/>
        </w:rPr>
        <w:t>in your</w:t>
      </w:r>
      <w:r>
        <w:rPr>
          <w:rFonts w:ascii="Arial" w:cs="Arial" w:eastAsia="Arial" w:hAnsi="Arial"/>
          <w:sz w:val="18"/>
          <w:szCs w:val="18"/>
          <w:color w:val="242123"/>
        </w:rPr>
        <w:t xml:space="preserve"> position here. </w:t>
      </w:r>
      <w:r>
        <w:rPr>
          <w:rFonts w:ascii="Arial" w:cs="Arial" w:eastAsia="Arial" w:hAnsi="Arial"/>
          <w:sz w:val="18"/>
          <w:szCs w:val="18"/>
          <w:color w:val="383436"/>
        </w:rPr>
        <w:t>To</w:t>
      </w:r>
      <w:r>
        <w:rPr>
          <w:rFonts w:ascii="Arial" w:cs="Arial" w:eastAsia="Arial" w:hAnsi="Arial"/>
          <w:sz w:val="18"/>
          <w:szCs w:val="18"/>
          <w:color w:val="242123"/>
        </w:rPr>
        <w:t xml:space="preserve"> the extent </w:t>
      </w:r>
      <w:r>
        <w:rPr>
          <w:rFonts w:ascii="Arial" w:cs="Arial" w:eastAsia="Arial" w:hAnsi="Arial"/>
          <w:sz w:val="18"/>
          <w:szCs w:val="18"/>
          <w:color w:val="383436"/>
        </w:rPr>
        <w:t>you are subject</w:t>
      </w:r>
      <w:r>
        <w:rPr>
          <w:rFonts w:ascii="Arial" w:cs="Arial" w:eastAsia="Arial" w:hAnsi="Arial"/>
          <w:sz w:val="18"/>
          <w:szCs w:val="18"/>
          <w:color w:val="242123"/>
        </w:rPr>
        <w:t xml:space="preserve"> to </w:t>
      </w:r>
      <w:r>
        <w:rPr>
          <w:rFonts w:ascii="Arial" w:cs="Arial" w:eastAsia="Arial" w:hAnsi="Arial"/>
          <w:sz w:val="18"/>
          <w:szCs w:val="18"/>
          <w:color w:val="383436"/>
        </w:rPr>
        <w:t>any</w:t>
      </w:r>
      <w:r>
        <w:rPr>
          <w:rFonts w:ascii="Arial" w:cs="Arial" w:eastAsia="Arial" w:hAnsi="Arial"/>
          <w:sz w:val="18"/>
          <w:szCs w:val="18"/>
          <w:color w:val="242123"/>
        </w:rPr>
        <w:t xml:space="preserve"> restrictive </w:t>
      </w:r>
      <w:r>
        <w:rPr>
          <w:rFonts w:ascii="Arial" w:cs="Arial" w:eastAsia="Arial" w:hAnsi="Arial"/>
          <w:sz w:val="18"/>
          <w:szCs w:val="18"/>
          <w:color w:val="383436"/>
        </w:rPr>
        <w:t>covenants or</w:t>
      </w:r>
      <w:r>
        <w:rPr>
          <w:rFonts w:ascii="Arial" w:cs="Arial" w:eastAsia="Arial" w:hAnsi="Arial"/>
          <w:sz w:val="18"/>
          <w:szCs w:val="18"/>
          <w:color w:val="242123"/>
        </w:rPr>
        <w:t xml:space="preserve"> other </w:t>
      </w:r>
      <w:r>
        <w:rPr>
          <w:rFonts w:ascii="Arial" w:cs="Arial" w:eastAsia="Arial" w:hAnsi="Arial"/>
          <w:sz w:val="18"/>
          <w:szCs w:val="18"/>
          <w:color w:val="383436"/>
        </w:rPr>
        <w:t>obligations</w:t>
      </w:r>
      <w:r>
        <w:rPr>
          <w:rFonts w:ascii="Arial" w:cs="Arial" w:eastAsia="Arial" w:hAnsi="Arial"/>
          <w:sz w:val="18"/>
          <w:szCs w:val="18"/>
          <w:color w:val="242123"/>
        </w:rPr>
        <w:t xml:space="preserve"> from prior </w:t>
      </w:r>
      <w:r>
        <w:rPr>
          <w:rFonts w:ascii="Arial" w:cs="Arial" w:eastAsia="Arial" w:hAnsi="Arial"/>
          <w:sz w:val="18"/>
          <w:szCs w:val="18"/>
          <w:color w:val="383436"/>
        </w:rPr>
        <w:t>employment</w:t>
      </w:r>
      <w:r>
        <w:rPr>
          <w:rFonts w:ascii="Arial" w:cs="Arial" w:eastAsia="Arial" w:hAnsi="Arial"/>
          <w:sz w:val="18"/>
          <w:szCs w:val="18"/>
          <w:color w:val="242123"/>
        </w:rPr>
        <w:t xml:space="preserve"> relationships, </w:t>
      </w:r>
      <w:r>
        <w:rPr>
          <w:rFonts w:ascii="Arial" w:cs="Arial" w:eastAsia="Arial" w:hAnsi="Arial"/>
          <w:sz w:val="18"/>
          <w:szCs w:val="18"/>
          <w:color w:val="383436"/>
        </w:rPr>
        <w:t>we advise you</w:t>
      </w:r>
      <w:r>
        <w:rPr>
          <w:rFonts w:ascii="Arial" w:cs="Arial" w:eastAsia="Arial" w:hAnsi="Arial"/>
          <w:sz w:val="18"/>
          <w:szCs w:val="18"/>
          <w:color w:val="242123"/>
        </w:rPr>
        <w:t xml:space="preserve"> to </w:t>
      </w:r>
      <w:r>
        <w:rPr>
          <w:rFonts w:ascii="Arial" w:cs="Arial" w:eastAsia="Arial" w:hAnsi="Arial"/>
          <w:sz w:val="18"/>
          <w:szCs w:val="18"/>
          <w:color w:val="383436"/>
        </w:rPr>
        <w:t>seek</w:t>
      </w:r>
      <w:r>
        <w:rPr>
          <w:rFonts w:ascii="Arial" w:cs="Arial" w:eastAsia="Arial" w:hAnsi="Arial"/>
          <w:sz w:val="18"/>
          <w:szCs w:val="18"/>
          <w:color w:val="242123"/>
        </w:rPr>
        <w:t xml:space="preserve"> the </w:t>
      </w:r>
      <w:r>
        <w:rPr>
          <w:rFonts w:ascii="Arial" w:cs="Arial" w:eastAsia="Arial" w:hAnsi="Arial"/>
          <w:sz w:val="18"/>
          <w:szCs w:val="18"/>
          <w:color w:val="383436"/>
        </w:rPr>
        <w:t>advice of counsel</w:t>
      </w:r>
      <w:r>
        <w:rPr>
          <w:rFonts w:ascii="Arial" w:cs="Arial" w:eastAsia="Arial" w:hAnsi="Arial"/>
          <w:sz w:val="18"/>
          <w:szCs w:val="18"/>
          <w:color w:val="242123"/>
        </w:rPr>
        <w:t xml:space="preserve"> prior </w:t>
      </w:r>
      <w:r>
        <w:rPr>
          <w:rFonts w:ascii="Arial" w:cs="Arial" w:eastAsia="Arial" w:hAnsi="Arial"/>
          <w:sz w:val="18"/>
          <w:szCs w:val="18"/>
          <w:color w:val="383436"/>
        </w:rPr>
        <w:t>to accepting employment</w:t>
      </w:r>
      <w:r>
        <w:rPr>
          <w:rFonts w:ascii="Arial" w:cs="Arial" w:eastAsia="Arial" w:hAnsi="Arial"/>
          <w:sz w:val="18"/>
          <w:szCs w:val="18"/>
          <w:color w:val="242123"/>
        </w:rPr>
        <w:t xml:space="preserve"> with </w:t>
      </w:r>
      <w:r>
        <w:rPr>
          <w:rFonts w:ascii="Arial" w:cs="Arial" w:eastAsia="Arial" w:hAnsi="Arial"/>
          <w:sz w:val="18"/>
          <w:szCs w:val="18"/>
          <w:color w:val="383436"/>
        </w:rPr>
        <w:t>Allstate.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80"/>
        <w:spacing w:after="0"/>
        <w:rPr>
          <w:sz w:val="20"/>
          <w:szCs w:val="20"/>
          <w:color w:val="auto"/>
        </w:rPr>
      </w:pPr>
      <w:r>
        <w:rPr>
          <w:rFonts w:ascii="Arial" w:cs="Arial" w:eastAsia="Arial" w:hAnsi="Arial"/>
          <w:sz w:val="13"/>
          <w:szCs w:val="13"/>
          <w:color w:val="3366FF"/>
        </w:rPr>
        <w:t>- 2 -</w:t>
      </w:r>
    </w:p>
    <w:p>
      <w:pPr>
        <w:spacing w:after="0" w:line="67" w:lineRule="exact"/>
        <w:rPr>
          <w:sz w:val="20"/>
          <w:szCs w:val="20"/>
          <w:color w:val="auto"/>
        </w:rPr>
      </w:pPr>
    </w:p>
    <w:p>
      <w:pPr>
        <w:ind w:left="2800"/>
        <w:spacing w:after="0"/>
        <w:rPr>
          <w:sz w:val="20"/>
          <w:szCs w:val="20"/>
          <w:color w:val="auto"/>
        </w:rPr>
      </w:pPr>
      <w:r>
        <w:rPr>
          <w:rFonts w:ascii="Arial" w:cs="Arial" w:eastAsia="Arial" w:hAnsi="Arial"/>
          <w:sz w:val="13"/>
          <w:szCs w:val="13"/>
          <w:color w:val="1666AF"/>
        </w:rPr>
        <w:t>The Allstate Corporation 2775 Sanders Road Northbrook, IL 60062</w:t>
      </w:r>
    </w:p>
    <w:p>
      <w:pPr>
        <w:sectPr>
          <w:pgSz w:w="11900" w:h="16838" w:orient="portrait"/>
          <w:cols w:equalWidth="0" w:num="1">
            <w:col w:w="10160"/>
          </w:cols>
          <w:pgMar w:left="1440" w:top="544" w:right="299" w:bottom="1440" w:gutter="0" w:footer="0" w:header="0"/>
        </w:sectPr>
      </w:pPr>
    </w:p>
    <w:bookmarkStart w:id="102" w:name="page103"/>
    <w:bookmarkEnd w:id="102"/>
    <w:p>
      <w:pPr>
        <w:ind w:left="900"/>
        <w:spacing w:after="0"/>
        <w:rPr>
          <w:sz w:val="20"/>
          <w:szCs w:val="20"/>
          <w:color w:val="auto"/>
        </w:rPr>
      </w:pPr>
      <w:r>
        <w:rPr>
          <w:rFonts w:ascii="Arial" w:cs="Arial" w:eastAsia="Arial" w:hAnsi="Arial"/>
          <w:sz w:val="18"/>
          <w:szCs w:val="18"/>
          <w:b w:val="1"/>
          <w:bCs w:val="1"/>
          <w:color w:val="211F1F"/>
        </w:rPr>
        <w:t>Relocation Assistance: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-739140</wp:posOffset>
            </wp:positionH>
            <wp:positionV relativeFrom="paragraph">
              <wp:posOffset>-116205</wp:posOffset>
            </wp:positionV>
            <wp:extent cx="892175" cy="66719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92175" cy="6671945"/>
                    </a:xfrm>
                    <a:prstGeom prst="rect">
                      <a:avLst/>
                    </a:prstGeom>
                    <a:noFill/>
                  </pic:spPr>
                </pic:pic>
              </a:graphicData>
            </a:graphic>
          </wp:anchor>
        </w:drawing>
      </w:r>
    </w:p>
    <w:p>
      <w:pPr>
        <w:spacing w:after="0" w:line="200" w:lineRule="exact"/>
        <w:rPr>
          <w:sz w:val="20"/>
          <w:szCs w:val="20"/>
          <w:color w:val="auto"/>
        </w:rPr>
      </w:pPr>
    </w:p>
    <w:p>
      <w:pPr>
        <w:ind w:left="900" w:right="140"/>
        <w:spacing w:after="0"/>
        <w:rPr>
          <w:sz w:val="20"/>
          <w:szCs w:val="20"/>
          <w:color w:val="auto"/>
        </w:rPr>
      </w:pPr>
      <w:r>
        <w:rPr>
          <w:rFonts w:ascii="Arial" w:cs="Arial" w:eastAsia="Arial" w:hAnsi="Arial"/>
          <w:sz w:val="18"/>
          <w:szCs w:val="18"/>
          <w:color w:val="343133"/>
        </w:rPr>
        <w:t xml:space="preserve">You will </w:t>
      </w:r>
      <w:r>
        <w:rPr>
          <w:rFonts w:ascii="Arial" w:cs="Arial" w:eastAsia="Arial" w:hAnsi="Arial"/>
          <w:sz w:val="18"/>
          <w:szCs w:val="18"/>
          <w:color w:val="211F1F"/>
        </w:rPr>
        <w:t>be</w:t>
      </w:r>
      <w:r>
        <w:rPr>
          <w:rFonts w:ascii="Arial" w:cs="Arial" w:eastAsia="Arial" w:hAnsi="Arial"/>
          <w:sz w:val="18"/>
          <w:szCs w:val="18"/>
          <w:color w:val="343133"/>
        </w:rPr>
        <w:t xml:space="preserve"> provided a relocation package. </w:t>
      </w:r>
      <w:r>
        <w:rPr>
          <w:rFonts w:ascii="Arial" w:cs="Arial" w:eastAsia="Arial" w:hAnsi="Arial"/>
          <w:sz w:val="18"/>
          <w:szCs w:val="18"/>
          <w:color w:val="211F1F"/>
        </w:rPr>
        <w:t>Accompanying</w:t>
      </w:r>
      <w:r>
        <w:rPr>
          <w:rFonts w:ascii="Arial" w:cs="Arial" w:eastAsia="Arial" w:hAnsi="Arial"/>
          <w:sz w:val="18"/>
          <w:szCs w:val="18"/>
          <w:color w:val="343133"/>
        </w:rPr>
        <w:t xml:space="preserve"> this </w:t>
      </w:r>
      <w:r>
        <w:rPr>
          <w:rFonts w:ascii="Arial" w:cs="Arial" w:eastAsia="Arial" w:hAnsi="Arial"/>
          <w:sz w:val="18"/>
          <w:szCs w:val="18"/>
          <w:color w:val="211F1F"/>
        </w:rPr>
        <w:t>letter is</w:t>
      </w:r>
      <w:r>
        <w:rPr>
          <w:rFonts w:ascii="Arial" w:cs="Arial" w:eastAsia="Arial" w:hAnsi="Arial"/>
          <w:sz w:val="18"/>
          <w:szCs w:val="18"/>
          <w:color w:val="343133"/>
        </w:rPr>
        <w:t xml:space="preserve"> a summary of </w:t>
      </w:r>
      <w:r>
        <w:rPr>
          <w:rFonts w:ascii="Arial" w:cs="Arial" w:eastAsia="Arial" w:hAnsi="Arial"/>
          <w:sz w:val="18"/>
          <w:szCs w:val="18"/>
          <w:color w:val="211F1F"/>
        </w:rPr>
        <w:t>the</w:t>
      </w:r>
      <w:r>
        <w:rPr>
          <w:rFonts w:ascii="Arial" w:cs="Arial" w:eastAsia="Arial" w:hAnsi="Arial"/>
          <w:sz w:val="18"/>
          <w:szCs w:val="18"/>
          <w:color w:val="343133"/>
        </w:rPr>
        <w:t xml:space="preserve"> package. Also available to you </w:t>
      </w:r>
      <w:r>
        <w:rPr>
          <w:rFonts w:ascii="Arial" w:cs="Arial" w:eastAsia="Arial" w:hAnsi="Arial"/>
          <w:sz w:val="18"/>
          <w:szCs w:val="18"/>
          <w:color w:val="211F1F"/>
        </w:rPr>
        <w:t>is</w:t>
      </w:r>
      <w:r>
        <w:rPr>
          <w:rFonts w:ascii="Arial" w:cs="Arial" w:eastAsia="Arial" w:hAnsi="Arial"/>
          <w:sz w:val="18"/>
          <w:szCs w:val="18"/>
          <w:color w:val="343133"/>
        </w:rPr>
        <w:t xml:space="preserve"> a consultation with a relocation </w:t>
      </w:r>
      <w:r>
        <w:rPr>
          <w:rFonts w:ascii="Arial" w:cs="Arial" w:eastAsia="Arial" w:hAnsi="Arial"/>
          <w:sz w:val="18"/>
          <w:szCs w:val="18"/>
          <w:color w:val="211F1F"/>
        </w:rPr>
        <w:t>representative</w:t>
      </w:r>
      <w:r>
        <w:rPr>
          <w:rFonts w:ascii="Arial" w:cs="Arial" w:eastAsia="Arial" w:hAnsi="Arial"/>
          <w:sz w:val="18"/>
          <w:szCs w:val="18"/>
          <w:color w:val="343133"/>
        </w:rPr>
        <w:t xml:space="preserve"> who can provide </w:t>
      </w:r>
      <w:r>
        <w:rPr>
          <w:rFonts w:ascii="Arial" w:cs="Arial" w:eastAsia="Arial" w:hAnsi="Arial"/>
          <w:sz w:val="18"/>
          <w:szCs w:val="18"/>
          <w:color w:val="211F1F"/>
        </w:rPr>
        <w:t>further</w:t>
      </w:r>
      <w:r>
        <w:rPr>
          <w:rFonts w:ascii="Arial" w:cs="Arial" w:eastAsia="Arial" w:hAnsi="Arial"/>
          <w:sz w:val="18"/>
          <w:szCs w:val="18"/>
          <w:color w:val="343133"/>
        </w:rPr>
        <w:t xml:space="preserve"> details of </w:t>
      </w:r>
      <w:r>
        <w:rPr>
          <w:rFonts w:ascii="Arial" w:cs="Arial" w:eastAsia="Arial" w:hAnsi="Arial"/>
          <w:sz w:val="18"/>
          <w:szCs w:val="18"/>
          <w:color w:val="211F1F"/>
        </w:rPr>
        <w:t>the</w:t>
      </w:r>
      <w:r>
        <w:rPr>
          <w:rFonts w:ascii="Arial" w:cs="Arial" w:eastAsia="Arial" w:hAnsi="Arial"/>
          <w:sz w:val="18"/>
          <w:szCs w:val="18"/>
          <w:color w:val="343133"/>
        </w:rPr>
        <w:t xml:space="preserve"> relocation assistance benefits.</w:t>
      </w:r>
    </w:p>
    <w:p>
      <w:pPr>
        <w:spacing w:after="0" w:line="16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Vacation and Holidays: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Allstate provides a Paid Time Off bank to employees. This bank is intended to provide you with additional flexibility in planning your professional and personal life. The PTO bank is designed to be used for vacation, personal matters, family illness and illness not covered by the short term disability plan.</w:t>
      </w:r>
    </w:p>
    <w:p>
      <w:pPr>
        <w:spacing w:after="0" w:line="18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2016 your PTO will be prorated based on your date of hire, you will be eligible for a maximum of up to 19 days.</w:t>
      </w:r>
    </w:p>
    <w:p>
      <w:pPr>
        <w:ind w:left="900"/>
        <w:spacing w:after="0"/>
        <w:rPr>
          <w:sz w:val="20"/>
          <w:szCs w:val="20"/>
          <w:color w:val="auto"/>
        </w:rPr>
      </w:pPr>
      <w:r>
        <w:rPr>
          <w:rFonts w:ascii="Arial" w:cs="Arial" w:eastAsia="Arial" w:hAnsi="Arial"/>
          <w:sz w:val="18"/>
          <w:szCs w:val="18"/>
          <w:color w:val="auto"/>
        </w:rPr>
        <w:t>Starting in 2017, you will be eligible for 25 days of PTO on an annual basis.</w:t>
      </w:r>
    </w:p>
    <w:p>
      <w:pPr>
        <w:spacing w:after="0" w:line="198" w:lineRule="exact"/>
        <w:rPr>
          <w:sz w:val="20"/>
          <w:szCs w:val="20"/>
          <w:color w:val="auto"/>
        </w:rPr>
      </w:pPr>
    </w:p>
    <w:p>
      <w:pPr>
        <w:ind w:left="900" w:right="40"/>
        <w:spacing w:after="0" w:line="246" w:lineRule="auto"/>
        <w:rPr>
          <w:sz w:val="20"/>
          <w:szCs w:val="20"/>
          <w:color w:val="auto"/>
        </w:rPr>
      </w:pPr>
      <w:r>
        <w:rPr>
          <w:rFonts w:ascii="Arial" w:cs="Arial" w:eastAsia="Arial" w:hAnsi="Arial"/>
          <w:sz w:val="18"/>
          <w:szCs w:val="18"/>
          <w:color w:val="auto"/>
        </w:rPr>
        <w:t>In addition to PTO days, you will receive company holidays and miscellaneous time off for events such as a funerals and jury duty.</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Benefits:</w:t>
      </w:r>
    </w:p>
    <w:p>
      <w:pPr>
        <w:spacing w:after="0" w:line="220" w:lineRule="exact"/>
        <w:rPr>
          <w:sz w:val="20"/>
          <w:szCs w:val="20"/>
          <w:color w:val="auto"/>
        </w:rPr>
      </w:pPr>
    </w:p>
    <w:p>
      <w:pPr>
        <w:ind w:left="900" w:right="260"/>
        <w:spacing w:after="0" w:line="275" w:lineRule="auto"/>
        <w:rPr>
          <w:sz w:val="20"/>
          <w:szCs w:val="20"/>
          <w:color w:val="auto"/>
        </w:rPr>
      </w:pPr>
      <w:r>
        <w:rPr>
          <w:rFonts w:ascii="Arial" w:cs="Arial" w:eastAsia="Arial" w:hAnsi="Arial"/>
          <w:sz w:val="17"/>
          <w:szCs w:val="17"/>
          <w:color w:val="auto"/>
        </w:rPr>
        <w:t>Accompanying this letter is an outline of the benefits provided to you. You are eligible to participate in the medical plan on your first day of employment. Coverage under the medical plan is not subject to pre-existing limitations.</w:t>
      </w:r>
    </w:p>
    <w:p>
      <w:pPr>
        <w:spacing w:after="0" w:line="138"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Executive Perquisites:</w:t>
      </w:r>
    </w:p>
    <w:p>
      <w:pPr>
        <w:spacing w:after="0" w:line="22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You will receive the following perquisites:</w:t>
      </w:r>
    </w:p>
    <w:p>
      <w:pPr>
        <w:spacing w:after="0" w:line="194" w:lineRule="exact"/>
        <w:rPr>
          <w:sz w:val="20"/>
          <w:szCs w:val="20"/>
          <w:color w:val="auto"/>
        </w:rPr>
      </w:pPr>
    </w:p>
    <w:p>
      <w:pPr>
        <w:ind w:left="1180" w:hanging="117"/>
        <w:spacing w:after="0"/>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Annual car allowance of $13,560 ($1,130 per month)</w:t>
      </w:r>
    </w:p>
    <w:p>
      <w:pPr>
        <w:ind w:left="1220" w:right="20" w:hanging="157"/>
        <w:spacing w:after="0" w:line="234" w:lineRule="auto"/>
        <w:tabs>
          <w:tab w:leader="none" w:pos="1171"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Financial planning services, provided by a vendor of your choice, will be reimbursed by Allstate for up to $10,000 annually</w:t>
      </w:r>
    </w:p>
    <w:p>
      <w:pPr>
        <w:spacing w:after="0" w:line="1" w:lineRule="exact"/>
        <w:rPr>
          <w:rFonts w:ascii="Arial" w:cs="Arial" w:eastAsia="Arial" w:hAnsi="Arial"/>
          <w:sz w:val="18"/>
          <w:szCs w:val="18"/>
          <w:color w:val="auto"/>
        </w:rPr>
      </w:pPr>
    </w:p>
    <w:p>
      <w:pPr>
        <w:ind w:left="1180" w:hanging="117"/>
        <w:spacing w:after="0" w:line="234" w:lineRule="auto"/>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Personal tax preparation services provided by an Allstate vendor</w:t>
      </w:r>
    </w:p>
    <w:p>
      <w:pPr>
        <w:ind w:left="1180" w:hanging="117"/>
        <w:spacing w:after="0"/>
        <w:tabs>
          <w:tab w:leader="none" w:pos="11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See Officer Prerequisite Guide for full details</w:t>
      </w:r>
    </w:p>
    <w:p>
      <w:pPr>
        <w:spacing w:after="0" w:line="17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Retirement Plan and 401(k):</w:t>
      </w:r>
    </w:p>
    <w:p>
      <w:pPr>
        <w:spacing w:after="0" w:line="220" w:lineRule="exact"/>
        <w:rPr>
          <w:sz w:val="20"/>
          <w:szCs w:val="20"/>
          <w:color w:val="auto"/>
        </w:rPr>
      </w:pPr>
    </w:p>
    <w:p>
      <w:pPr>
        <w:ind w:left="900" w:right="180"/>
        <w:spacing w:after="0" w:line="246" w:lineRule="auto"/>
        <w:rPr>
          <w:sz w:val="20"/>
          <w:szCs w:val="20"/>
          <w:color w:val="auto"/>
        </w:rPr>
      </w:pPr>
      <w:r>
        <w:rPr>
          <w:rFonts w:ascii="Arial" w:cs="Arial" w:eastAsia="Arial" w:hAnsi="Arial"/>
          <w:sz w:val="18"/>
          <w:szCs w:val="18"/>
          <w:color w:val="auto"/>
        </w:rPr>
        <w:t>You will participate in the Allstate Retirement Plan, and will be automatically enrolled in the Allstate 401(k) Savings Plan unless you decline enrollment as provided in the plan.</w:t>
      </w:r>
    </w:p>
    <w:p>
      <w:pPr>
        <w:spacing w:after="0" w:line="183" w:lineRule="exact"/>
        <w:rPr>
          <w:sz w:val="20"/>
          <w:szCs w:val="20"/>
          <w:color w:val="auto"/>
        </w:rPr>
      </w:pPr>
    </w:p>
    <w:p>
      <w:pPr>
        <w:ind w:left="900" w:right="200"/>
        <w:spacing w:after="0"/>
        <w:rPr>
          <w:sz w:val="20"/>
          <w:szCs w:val="20"/>
          <w:color w:val="auto"/>
        </w:rPr>
      </w:pPr>
      <w:r>
        <w:rPr>
          <w:rFonts w:ascii="Arial" w:cs="Arial" w:eastAsia="Arial" w:hAnsi="Arial"/>
          <w:sz w:val="18"/>
          <w:szCs w:val="18"/>
          <w:color w:val="auto"/>
        </w:rPr>
        <w:t>The Allstate Retirement Plan is a pension plan that is funded by Allstate and provides benefits at retirement based on pay credits and interest credits under a cash balance formula. Pay credits are determined based on compensation and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80"/>
        <w:spacing w:after="0"/>
        <w:rPr>
          <w:sz w:val="20"/>
          <w:szCs w:val="20"/>
          <w:color w:val="auto"/>
        </w:rPr>
      </w:pPr>
      <w:r>
        <w:rPr>
          <w:rFonts w:ascii="Arial" w:cs="Arial" w:eastAsia="Arial" w:hAnsi="Arial"/>
          <w:sz w:val="13"/>
          <w:szCs w:val="13"/>
          <w:color w:val="3366FF"/>
        </w:rPr>
        <w:t>- 3 -</w:t>
      </w:r>
    </w:p>
    <w:p>
      <w:pPr>
        <w:spacing w:after="0" w:line="67" w:lineRule="exact"/>
        <w:rPr>
          <w:sz w:val="20"/>
          <w:szCs w:val="20"/>
          <w:color w:val="auto"/>
        </w:rPr>
      </w:pPr>
    </w:p>
    <w:p>
      <w:pPr>
        <w:ind w:left="2800"/>
        <w:spacing w:after="0"/>
        <w:rPr>
          <w:sz w:val="20"/>
          <w:szCs w:val="20"/>
          <w:color w:val="auto"/>
        </w:rPr>
      </w:pPr>
      <w:r>
        <w:rPr>
          <w:rFonts w:ascii="Arial" w:cs="Arial" w:eastAsia="Arial" w:hAnsi="Arial"/>
          <w:sz w:val="13"/>
          <w:szCs w:val="13"/>
          <w:color w:val="1666AF"/>
        </w:rPr>
        <w:t>The Allstate Corporation 2775 Sanders Road Northbrook, IL 60062</w:t>
      </w:r>
    </w:p>
    <w:p>
      <w:pPr>
        <w:sectPr>
          <w:pgSz w:w="11900" w:h="16838" w:orient="portrait"/>
          <w:cols w:equalWidth="0" w:num="1">
            <w:col w:w="10160"/>
          </w:cols>
          <w:pgMar w:left="1440" w:top="522" w:right="299" w:bottom="1440" w:gutter="0" w:footer="0" w:header="0"/>
        </w:sectPr>
      </w:pPr>
    </w:p>
    <w:bookmarkStart w:id="103" w:name="page104"/>
    <w:bookmarkEnd w:id="103"/>
    <w:p>
      <w:pPr>
        <w:jc w:val="both"/>
        <w:ind w:left="920" w:right="520" w:hanging="26"/>
        <w:spacing w:after="0"/>
        <w:rPr>
          <w:sz w:val="20"/>
          <w:szCs w:val="20"/>
          <w:color w:val="auto"/>
        </w:rPr>
      </w:pPr>
      <w:r>
        <w:rPr>
          <w:rFonts w:ascii="Arial" w:cs="Arial" w:eastAsia="Arial" w:hAnsi="Arial"/>
          <w:sz w:val="18"/>
          <w:szCs w:val="18"/>
          <w:color w:val="262323"/>
        </w:rPr>
        <w:drawing>
          <wp:anchor simplePos="0" relativeHeight="251657728" behindDoc="1" locked="0" layoutInCell="0" allowOverlap="1">
            <wp:simplePos x="0" y="0"/>
            <wp:positionH relativeFrom="page">
              <wp:posOffset>174625</wp:posOffset>
            </wp:positionH>
            <wp:positionV relativeFrom="page">
              <wp:posOffset>346075</wp:posOffset>
            </wp:positionV>
            <wp:extent cx="892175" cy="66719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clrChange>
                        <a:clrFrom>
                          <a:srgbClr val="FFFFFF"/>
                        </a:clrFrom>
                        <a:clrTo>
                          <a:srgbClr val="FFFFFF">
                            <a:alpha val="0"/>
                          </a:srgbClr>
                        </a:clrTo>
                      </a:clrChange>
                      <a:extLst>
                        <a:ext uri="{28A0092B-C50C-407E-A947-70E740481C1C}"/>
                      </a:extLst>
                    </a:blip>
                    <a:srcRect/>
                    <a:stretch>
                      <a:fillRect/>
                    </a:stretch>
                  </pic:blipFill>
                  <pic:spPr bwMode="auto">
                    <a:xfrm>
                      <a:off x="0" y="0"/>
                      <a:ext cx="892175" cy="6671945"/>
                    </a:xfrm>
                    <a:prstGeom prst="rect">
                      <a:avLst/>
                    </a:prstGeom>
                    <a:noFill/>
                  </pic:spPr>
                </pic:pic>
              </a:graphicData>
            </a:graphic>
          </wp:anchor>
        </w:drawing>
        <w:t xml:space="preserve">The Allstate </w:t>
      </w:r>
      <w:r>
        <w:rPr>
          <w:rFonts w:ascii="Arial" w:cs="Arial" w:eastAsia="Arial" w:hAnsi="Arial"/>
          <w:sz w:val="18"/>
          <w:szCs w:val="18"/>
          <w:color w:val="363434"/>
        </w:rPr>
        <w:t>401(k) Savings Plan allows eligible employees</w:t>
      </w:r>
      <w:r>
        <w:rPr>
          <w:rFonts w:ascii="Arial" w:cs="Arial" w:eastAsia="Arial" w:hAnsi="Arial"/>
          <w:sz w:val="18"/>
          <w:szCs w:val="18"/>
          <w:color w:val="262323"/>
        </w:rPr>
        <w:t xml:space="preserve"> to make pre- and </w:t>
      </w:r>
      <w:r>
        <w:rPr>
          <w:rFonts w:ascii="Arial" w:cs="Arial" w:eastAsia="Arial" w:hAnsi="Arial"/>
          <w:sz w:val="18"/>
          <w:szCs w:val="18"/>
          <w:color w:val="363434"/>
        </w:rPr>
        <w:t>after-tax deposits</w:t>
      </w:r>
      <w:r>
        <w:rPr>
          <w:rFonts w:ascii="Arial" w:cs="Arial" w:eastAsia="Arial" w:hAnsi="Arial"/>
          <w:sz w:val="18"/>
          <w:szCs w:val="18"/>
          <w:color w:val="262323"/>
        </w:rPr>
        <w:t xml:space="preserve"> to their </w:t>
      </w:r>
      <w:r>
        <w:rPr>
          <w:rFonts w:ascii="Arial" w:cs="Arial" w:eastAsia="Arial" w:hAnsi="Arial"/>
          <w:sz w:val="18"/>
          <w:szCs w:val="18"/>
          <w:color w:val="363434"/>
        </w:rPr>
        <w:t>401(k)</w:t>
      </w:r>
      <w:r>
        <w:rPr>
          <w:rFonts w:ascii="Arial" w:cs="Arial" w:eastAsia="Arial" w:hAnsi="Arial"/>
          <w:sz w:val="18"/>
          <w:szCs w:val="18"/>
          <w:color w:val="262323"/>
        </w:rPr>
        <w:t xml:space="preserve"> </w:t>
      </w:r>
      <w:r>
        <w:rPr>
          <w:rFonts w:ascii="Arial" w:cs="Arial" w:eastAsia="Arial" w:hAnsi="Arial"/>
          <w:sz w:val="18"/>
          <w:szCs w:val="18"/>
          <w:color w:val="363434"/>
        </w:rPr>
        <w:t xml:space="preserve">savings </w:t>
      </w:r>
      <w:r>
        <w:rPr>
          <w:rFonts w:ascii="Arial" w:cs="Arial" w:eastAsia="Arial" w:hAnsi="Arial"/>
          <w:sz w:val="18"/>
          <w:szCs w:val="18"/>
          <w:color w:val="262323"/>
        </w:rPr>
        <w:t>accounts. Participants may be</w:t>
      </w:r>
      <w:r>
        <w:rPr>
          <w:rFonts w:ascii="Arial" w:cs="Arial" w:eastAsia="Arial" w:hAnsi="Arial"/>
          <w:sz w:val="18"/>
          <w:szCs w:val="18"/>
          <w:color w:val="363434"/>
        </w:rPr>
        <w:t xml:space="preserve"> eligible </w:t>
      </w:r>
      <w:r>
        <w:rPr>
          <w:rFonts w:ascii="Arial" w:cs="Arial" w:eastAsia="Arial" w:hAnsi="Arial"/>
          <w:sz w:val="18"/>
          <w:szCs w:val="18"/>
          <w:color w:val="262323"/>
        </w:rPr>
        <w:t>for a</w:t>
      </w:r>
      <w:r>
        <w:rPr>
          <w:rFonts w:ascii="Arial" w:cs="Arial" w:eastAsia="Arial" w:hAnsi="Arial"/>
          <w:sz w:val="18"/>
          <w:szCs w:val="18"/>
          <w:color w:val="363434"/>
        </w:rPr>
        <w:t xml:space="preserve"> company contribution </w:t>
      </w:r>
      <w:r>
        <w:rPr>
          <w:rFonts w:ascii="Arial" w:cs="Arial" w:eastAsia="Arial" w:hAnsi="Arial"/>
          <w:sz w:val="18"/>
          <w:szCs w:val="18"/>
          <w:color w:val="262323"/>
        </w:rPr>
        <w:t>of</w:t>
      </w:r>
      <w:r>
        <w:rPr>
          <w:rFonts w:ascii="Arial" w:cs="Arial" w:eastAsia="Arial" w:hAnsi="Arial"/>
          <w:sz w:val="18"/>
          <w:szCs w:val="18"/>
          <w:color w:val="363434"/>
        </w:rPr>
        <w:t xml:space="preserve"> 80 </w:t>
      </w:r>
      <w:r>
        <w:rPr>
          <w:rFonts w:ascii="Arial" w:cs="Arial" w:eastAsia="Arial" w:hAnsi="Arial"/>
          <w:sz w:val="18"/>
          <w:szCs w:val="18"/>
          <w:color w:val="494949"/>
        </w:rPr>
        <w:t>cen</w:t>
      </w:r>
      <w:r>
        <w:rPr>
          <w:rFonts w:ascii="Arial" w:cs="Arial" w:eastAsia="Arial" w:hAnsi="Arial"/>
          <w:sz w:val="18"/>
          <w:szCs w:val="18"/>
          <w:color w:val="262323"/>
        </w:rPr>
        <w:t>t</w:t>
      </w:r>
      <w:r>
        <w:rPr>
          <w:rFonts w:ascii="Arial" w:cs="Arial" w:eastAsia="Arial" w:hAnsi="Arial"/>
          <w:sz w:val="18"/>
          <w:szCs w:val="18"/>
          <w:color w:val="494949"/>
        </w:rPr>
        <w:t>s</w:t>
      </w:r>
      <w:r>
        <w:rPr>
          <w:rFonts w:ascii="Arial" w:cs="Arial" w:eastAsia="Arial" w:hAnsi="Arial"/>
          <w:sz w:val="18"/>
          <w:szCs w:val="18"/>
          <w:color w:val="363434"/>
        </w:rPr>
        <w:t xml:space="preserve"> </w:t>
      </w:r>
      <w:r>
        <w:rPr>
          <w:rFonts w:ascii="Arial" w:cs="Arial" w:eastAsia="Arial" w:hAnsi="Arial"/>
          <w:sz w:val="18"/>
          <w:szCs w:val="18"/>
          <w:color w:val="262323"/>
        </w:rPr>
        <w:t>for</w:t>
      </w:r>
      <w:r>
        <w:rPr>
          <w:rFonts w:ascii="Arial" w:cs="Arial" w:eastAsia="Arial" w:hAnsi="Arial"/>
          <w:sz w:val="18"/>
          <w:szCs w:val="18"/>
          <w:color w:val="363434"/>
        </w:rPr>
        <w:t xml:space="preserve"> every pre</w:t>
      </w:r>
      <w:r>
        <w:rPr>
          <w:rFonts w:ascii="Arial" w:cs="Arial" w:eastAsia="Arial" w:hAnsi="Arial"/>
          <w:sz w:val="18"/>
          <w:szCs w:val="18"/>
          <w:color w:val="282324"/>
        </w:rPr>
        <w:t>-</w:t>
      </w:r>
      <w:r>
        <w:rPr>
          <w:rFonts w:ascii="Arial" w:cs="Arial" w:eastAsia="Arial" w:hAnsi="Arial"/>
          <w:sz w:val="18"/>
          <w:szCs w:val="18"/>
          <w:color w:val="262323"/>
        </w:rPr>
        <w:t>tax</w:t>
      </w:r>
      <w:r>
        <w:rPr>
          <w:rFonts w:ascii="Arial" w:cs="Arial" w:eastAsia="Arial" w:hAnsi="Arial"/>
          <w:sz w:val="18"/>
          <w:szCs w:val="18"/>
          <w:color w:val="363434"/>
        </w:rPr>
        <w:t xml:space="preserve"> dollar contributed, up </w:t>
      </w:r>
      <w:r>
        <w:rPr>
          <w:rFonts w:ascii="Arial" w:cs="Arial" w:eastAsia="Arial" w:hAnsi="Arial"/>
          <w:sz w:val="18"/>
          <w:szCs w:val="18"/>
          <w:color w:val="262323"/>
        </w:rPr>
        <w:t>to</w:t>
      </w:r>
      <w:r>
        <w:rPr>
          <w:rFonts w:ascii="Arial" w:cs="Arial" w:eastAsia="Arial" w:hAnsi="Arial"/>
          <w:sz w:val="18"/>
          <w:szCs w:val="18"/>
          <w:color w:val="363434"/>
        </w:rPr>
        <w:t xml:space="preserve"> 5 </w:t>
      </w:r>
      <w:r>
        <w:rPr>
          <w:rFonts w:ascii="Arial" w:cs="Arial" w:eastAsia="Arial" w:hAnsi="Arial"/>
          <w:sz w:val="18"/>
          <w:szCs w:val="18"/>
          <w:color w:val="262323"/>
        </w:rPr>
        <w:t>percent</w:t>
      </w:r>
      <w:r>
        <w:rPr>
          <w:rFonts w:ascii="Arial" w:cs="Arial" w:eastAsia="Arial" w:hAnsi="Arial"/>
          <w:sz w:val="18"/>
          <w:szCs w:val="18"/>
          <w:color w:val="363434"/>
        </w:rPr>
        <w:t xml:space="preserve"> of </w:t>
      </w:r>
      <w:r>
        <w:rPr>
          <w:rFonts w:ascii="Arial" w:cs="Arial" w:eastAsia="Arial" w:hAnsi="Arial"/>
          <w:sz w:val="18"/>
          <w:szCs w:val="18"/>
          <w:color w:val="262323"/>
        </w:rPr>
        <w:t>eligible</w:t>
      </w:r>
      <w:r>
        <w:rPr>
          <w:rFonts w:ascii="Arial" w:cs="Arial" w:eastAsia="Arial" w:hAnsi="Arial"/>
          <w:sz w:val="18"/>
          <w:szCs w:val="18"/>
          <w:color w:val="363434"/>
        </w:rPr>
        <w:t xml:space="preserve"> compensation.</w:t>
      </w:r>
    </w:p>
    <w:p>
      <w:pPr>
        <w:spacing w:after="0" w:line="189" w:lineRule="exact"/>
        <w:rPr>
          <w:sz w:val="20"/>
          <w:szCs w:val="20"/>
          <w:color w:val="auto"/>
        </w:rPr>
      </w:pPr>
    </w:p>
    <w:p>
      <w:pPr>
        <w:ind w:left="900"/>
        <w:spacing w:after="0" w:line="239" w:lineRule="auto"/>
        <w:rPr>
          <w:sz w:val="20"/>
          <w:szCs w:val="20"/>
          <w:color w:val="auto"/>
        </w:rPr>
      </w:pPr>
      <w:r>
        <w:rPr>
          <w:rFonts w:ascii="Arial" w:cs="Arial" w:eastAsia="Arial" w:hAnsi="Arial"/>
          <w:sz w:val="18"/>
          <w:szCs w:val="18"/>
          <w:color w:val="auto"/>
        </w:rPr>
        <w:t>Under our current policy, both the 401(k) and pension plan benefits will vest upon your third year service date. Please note that you are always fully vested in the Allstate 401(k) Savings Plan for any of your pre-tax, Roth 401(k), and after-tax contributions as well as any rollover funds. All of our compensation and benefit programs are subject to future modifications.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We look forward to a mutually acceptable start date of April 4, 2016.</w:t>
      </w:r>
    </w:p>
    <w:p>
      <w:pPr>
        <w:spacing w:after="0" w:line="198" w:lineRule="exact"/>
        <w:rPr>
          <w:sz w:val="20"/>
          <w:szCs w:val="20"/>
          <w:color w:val="auto"/>
        </w:rPr>
      </w:pPr>
    </w:p>
    <w:p>
      <w:pPr>
        <w:ind w:left="900" w:right="360"/>
        <w:spacing w:after="0" w:line="239" w:lineRule="auto"/>
        <w:rPr>
          <w:sz w:val="20"/>
          <w:szCs w:val="20"/>
          <w:color w:val="auto"/>
        </w:rPr>
      </w:pPr>
      <w:r>
        <w:rPr>
          <w:rFonts w:ascii="Arial" w:cs="Arial" w:eastAsia="Arial" w:hAnsi="Arial"/>
          <w:sz w:val="18"/>
          <w:szCs w:val="18"/>
          <w:color w:val="auto"/>
        </w:rPr>
        <w:t>To confirm your acceptance of this offer of employment with Allstate subject to its policies and the terms and conditions of its compensation and benefit plans, please sign and date this letter and the Intellectual Property Assignment Agreement and return both via the enclosed mailer. An additional copy of each is enclosed for your records.</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Sincerely,</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u w:val="single" w:color="auto"/>
          <w:color w:val="auto"/>
        </w:rPr>
        <w:t>/s/ Harriet K. Harty</w:t>
      </w:r>
    </w:p>
    <w:p>
      <w:pPr>
        <w:ind w:left="900"/>
        <w:spacing w:after="0" w:line="234" w:lineRule="auto"/>
        <w:rPr>
          <w:sz w:val="20"/>
          <w:szCs w:val="20"/>
          <w:color w:val="auto"/>
        </w:rPr>
      </w:pPr>
      <w:r>
        <w:rPr>
          <w:rFonts w:ascii="Arial" w:cs="Arial" w:eastAsia="Arial" w:hAnsi="Arial"/>
          <w:sz w:val="18"/>
          <w:szCs w:val="18"/>
          <w:color w:val="auto"/>
        </w:rPr>
        <w:t>Harriet K. Harty</w:t>
      </w:r>
    </w:p>
    <w:p>
      <w:pPr>
        <w:spacing w:after="0" w:line="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Executive Vice President, Human Resources</w:t>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ACCEPTED AND AGREED:</w:t>
      </w:r>
    </w:p>
    <w:p>
      <w:pPr>
        <w:spacing w:after="0" w:line="198" w:lineRule="exact"/>
        <w:rPr>
          <w:sz w:val="20"/>
          <w:szCs w:val="20"/>
          <w:color w:val="auto"/>
        </w:rPr>
      </w:pPr>
    </w:p>
    <w:p>
      <w:pPr>
        <w:ind w:left="900"/>
        <w:spacing w:after="0"/>
        <w:tabs>
          <w:tab w:leader="none" w:pos="18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Glenn Shapiro</w:t>
      </w:r>
    </w:p>
    <w:p>
      <w:pPr>
        <w:spacing w:after="0" w:line="198" w:lineRule="exact"/>
        <w:rPr>
          <w:sz w:val="20"/>
          <w:szCs w:val="20"/>
          <w:color w:val="auto"/>
        </w:rPr>
      </w:pPr>
    </w:p>
    <w:p>
      <w:pPr>
        <w:ind w:left="900"/>
        <w:spacing w:after="0"/>
        <w:tabs>
          <w:tab w:leader="none" w:pos="19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u w:val="single" w:color="auto"/>
          <w:color w:val="auto"/>
        </w:rPr>
        <w:t>/s/Glenn Shapiro</w:t>
      </w:r>
    </w:p>
    <w:p>
      <w:pPr>
        <w:spacing w:after="0" w:line="198" w:lineRule="exact"/>
        <w:rPr>
          <w:sz w:val="20"/>
          <w:szCs w:val="20"/>
          <w:color w:val="auto"/>
        </w:rPr>
      </w:pPr>
    </w:p>
    <w:p>
      <w:pPr>
        <w:ind w:left="900"/>
        <w:spacing w:after="0"/>
        <w:tabs>
          <w:tab w:leader="none" w:pos="1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March 11,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3366FF"/>
        </w:rPr>
        <w:t>- 4 -</w:t>
      </w:r>
    </w:p>
    <w:p>
      <w:pPr>
        <w:spacing w:after="0" w:line="67" w:lineRule="exact"/>
        <w:rPr>
          <w:sz w:val="20"/>
          <w:szCs w:val="20"/>
          <w:color w:val="auto"/>
        </w:rPr>
      </w:pPr>
    </w:p>
    <w:p>
      <w:pPr>
        <w:ind w:left="2800"/>
        <w:spacing w:after="0"/>
        <w:rPr>
          <w:sz w:val="20"/>
          <w:szCs w:val="20"/>
          <w:color w:val="auto"/>
        </w:rPr>
      </w:pPr>
      <w:r>
        <w:rPr>
          <w:rFonts w:ascii="Arial" w:cs="Arial" w:eastAsia="Arial" w:hAnsi="Arial"/>
          <w:sz w:val="13"/>
          <w:szCs w:val="13"/>
          <w:color w:val="1666AF"/>
        </w:rPr>
        <w:t>The Allstate Corporation 2775 Sanders Road Northbrook, IL 60062</w:t>
      </w:r>
    </w:p>
    <w:p>
      <w:pPr>
        <w:sectPr>
          <w:pgSz w:w="11900" w:h="16838" w:orient="portrait"/>
          <w:cols w:equalWidth="0" w:num="1">
            <w:col w:w="10100"/>
          </w:cols>
          <w:pgMar w:left="1440" w:top="746" w:right="35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color w:val="auto"/>
        </w:rPr>
        <w:t>Exhibit 15</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The Allstate Corporation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2775 Sanders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Northbrook, IL 60062</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reviewed, in accordance with the standards of the Public Company Accounting Oversight Board (United States), the unaudited interim financial information of The Allstate Corporation and subsidiaries for the periods ended March 31, 2019 and 2018, as indicated in our report dated May 1, 2019; because we did not perform an audit, we expressed no opinion on that information.</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We are aware that our report referred to above, which is included in your Quarterly Report on Form 10-Q for the quarter ended March 31, 2019, is incorporated by reference in the following Registration Statements:</w:t>
      </w:r>
    </w:p>
    <w:p>
      <w:pPr>
        <w:spacing w:after="0" w:line="118"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3980" w:type="dxa"/>
            <w:vAlign w:val="bottom"/>
            <w:gridSpan w:val="2"/>
          </w:tcPr>
          <w:p>
            <w:pPr>
              <w:spacing w:after="0"/>
              <w:rPr>
                <w:sz w:val="20"/>
                <w:szCs w:val="20"/>
                <w:color w:val="auto"/>
              </w:rPr>
            </w:pPr>
            <w:r>
              <w:rPr>
                <w:rFonts w:ascii="Arial" w:cs="Arial" w:eastAsia="Arial" w:hAnsi="Arial"/>
                <w:sz w:val="16"/>
                <w:szCs w:val="16"/>
                <w:b w:val="1"/>
                <w:bCs w:val="1"/>
                <w:color w:val="auto"/>
              </w:rPr>
              <w:t>Form S-3 Registration Statement Nos.</w:t>
            </w:r>
          </w:p>
        </w:tc>
        <w:tc>
          <w:tcPr>
            <w:tcW w:w="2640" w:type="dxa"/>
            <w:vAlign w:val="bottom"/>
          </w:tcPr>
          <w:p>
            <w:pPr>
              <w:spacing w:after="0"/>
              <w:rPr>
                <w:sz w:val="20"/>
                <w:szCs w:val="20"/>
                <w:color w:val="auto"/>
              </w:rPr>
            </w:pPr>
            <w:r>
              <w:rPr>
                <w:rFonts w:ascii="Arial" w:cs="Arial" w:eastAsia="Arial" w:hAnsi="Arial"/>
                <w:sz w:val="16"/>
                <w:szCs w:val="16"/>
                <w:b w:val="1"/>
                <w:bCs w:val="1"/>
                <w:color w:val="auto"/>
                <w:w w:val="90"/>
              </w:rPr>
              <w:t>Form S-8 Registration Statement Nos.</w:t>
            </w:r>
          </w:p>
        </w:tc>
      </w:tr>
      <w:tr>
        <w:trPr>
          <w:trHeight w:val="271"/>
        </w:trPr>
        <w:tc>
          <w:tcPr>
            <w:tcW w:w="26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333-34583</w:t>
            </w:r>
          </w:p>
        </w:tc>
        <w:tc>
          <w:tcPr>
            <w:tcW w:w="1340" w:type="dxa"/>
            <w:vAlign w:val="bottom"/>
          </w:tcPr>
          <w:p>
            <w:pPr>
              <w:spacing w:after="0"/>
              <w:rPr>
                <w:sz w:val="23"/>
                <w:szCs w:val="23"/>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333-04919</w:t>
            </w:r>
          </w:p>
        </w:tc>
      </w:tr>
      <w:tr>
        <w:trPr>
          <w:trHeight w:val="257"/>
        </w:trPr>
        <w:tc>
          <w:tcPr>
            <w:tcW w:w="2640" w:type="dxa"/>
            <w:vAlign w:val="bottom"/>
          </w:tcPr>
          <w:p>
            <w:pPr>
              <w:spacing w:after="0"/>
              <w:rPr>
                <w:sz w:val="20"/>
                <w:szCs w:val="20"/>
                <w:color w:val="auto"/>
              </w:rPr>
            </w:pPr>
            <w:r>
              <w:rPr>
                <w:rFonts w:ascii="Arial" w:cs="Arial" w:eastAsia="Arial" w:hAnsi="Arial"/>
                <w:sz w:val="16"/>
                <w:szCs w:val="16"/>
                <w:color w:val="auto"/>
              </w:rPr>
              <w:t>333-224541</w:t>
            </w:r>
          </w:p>
        </w:tc>
        <w:tc>
          <w:tcPr>
            <w:tcW w:w="1340" w:type="dxa"/>
            <w:vAlign w:val="bottom"/>
          </w:tcPr>
          <w:p>
            <w:pPr>
              <w:spacing w:after="0"/>
              <w:rPr>
                <w:sz w:val="22"/>
                <w:szCs w:val="22"/>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333-16129</w:t>
            </w:r>
          </w:p>
        </w:tc>
      </w:tr>
      <w:tr>
        <w:trPr>
          <w:trHeight w:val="270"/>
        </w:trPr>
        <w:tc>
          <w:tcPr>
            <w:tcW w:w="2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333-40283</w:t>
            </w:r>
          </w:p>
        </w:tc>
      </w:tr>
      <w:tr>
        <w:trPr>
          <w:trHeight w:val="270"/>
        </w:trPr>
        <w:tc>
          <w:tcPr>
            <w:tcW w:w="2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333-134243</w:t>
            </w:r>
          </w:p>
        </w:tc>
      </w:tr>
      <w:tr>
        <w:trPr>
          <w:trHeight w:val="270"/>
        </w:trPr>
        <w:tc>
          <w:tcPr>
            <w:tcW w:w="26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333-144691</w:t>
            </w:r>
          </w:p>
        </w:tc>
      </w:tr>
    </w:tbl>
    <w:p>
      <w:pPr>
        <w:spacing w:after="0" w:line="64"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333-175526</w:t>
      </w:r>
    </w:p>
    <w:p>
      <w:pPr>
        <w:spacing w:after="0" w:line="8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333-188821</w:t>
      </w:r>
    </w:p>
    <w:p>
      <w:pPr>
        <w:spacing w:after="0" w:line="8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333-200390</w:t>
      </w:r>
    </w:p>
    <w:p>
      <w:pPr>
        <w:spacing w:after="0" w:line="8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333-218343</w:t>
      </w:r>
    </w:p>
    <w:p>
      <w:pPr>
        <w:spacing w:after="0" w:line="8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333-228490</w:t>
      </w:r>
    </w:p>
    <w:p>
      <w:pPr>
        <w:spacing w:after="0" w:line="8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333-228491</w:t>
      </w:r>
    </w:p>
    <w:p>
      <w:pPr>
        <w:spacing w:after="0" w:line="8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333-228492</w:t>
      </w:r>
    </w:p>
    <w:p>
      <w:pPr>
        <w:spacing w:after="0" w:line="16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1, 2019</w:t>
      </w:r>
    </w:p>
    <w:p>
      <w:pPr>
        <w:sectPr>
          <w:pgSz w:w="11900" w:h="16838" w:orient="portrait"/>
          <w:cols w:equalWidth="0" w:num="1">
            <w:col w:w="11420"/>
          </w:cols>
          <w:pgMar w:left="240" w:top="662"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Exhibit 18</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The Allstate Corporation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2775 Sanders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Northbrook, Illinois 60062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Dear Sirs/Madams:</w:t>
      </w:r>
    </w:p>
    <w:p>
      <w:pPr>
        <w:spacing w:after="0" w:line="27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At your request, we have read the description included in your Quarterly Report on Form 10-Q to the Securities and Exchange Commission for the quarter ended March 31, 2019, of the facts relating to the Company's election to change its principles of accounting for defined benefit pension and other postretirement benefit plan costs during 2019. Note 1 to such financial statements contains a description of your adoption of the changes in accounting principles for recognizing actuarial gains and losses for all pension and postretirement benefit plans from a corridor amortization method to immediate recognition and for determining the market-related value of plan assets for all pension plans from a calculated value method to a fair value method. We believe, on the basis of the facts so set forth and other information furnished to us by appropriate officials of The Allstate Corporation, that the accounting changes described in your Form 10-Q are to alternative accounting methods that are preferable under the circumstances.</w:t>
      </w:r>
    </w:p>
    <w:p>
      <w:pPr>
        <w:spacing w:after="0" w:line="26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have not audited any consolidated financial statements of The Allstate Corporation and its subsidiaries as of any date or for any period subsequent to December 31, 2018. Therefore, we are unable to express, and we do not express, an opinion on the facts set forth in the above-mentioned Form 10-Q, on the related information furnished to us by officials of The Allstate Corporation, or on the financial position, results of operations, or cash flows of The Allstate Corporation and its subsidiaries as of any date or for any period subsequent to December 31, 2018.</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Yours truly,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May 1, 2019</w:t>
      </w:r>
    </w:p>
    <w:p>
      <w:pPr>
        <w:sectPr>
          <w:pgSz w:w="11900" w:h="16838" w:orient="portrait"/>
          <w:cols w:equalWidth="0" w:num="1">
            <w:col w:w="11420"/>
          </w:cols>
          <w:pgMar w:left="240" w:top="662" w:right="239" w:bottom="1440" w:gutter="0" w:footer="0" w:header="0"/>
        </w:sectPr>
      </w:pPr>
    </w:p>
    <w:bookmarkStart w:id="106" w:name="page107"/>
    <w:bookmarkEnd w:id="106"/>
    <w:p>
      <w:pPr>
        <w:ind w:left="40"/>
        <w:spacing w:after="0"/>
        <w:tabs>
          <w:tab w:leader="none" w:pos="10400" w:val="left"/>
        </w:tabs>
        <w:rPr>
          <w:sz w:val="20"/>
          <w:szCs w:val="20"/>
          <w:color w:val="auto"/>
        </w:rPr>
      </w:pPr>
      <w:r>
        <w:rPr>
          <w:rFonts w:ascii="Arial" w:cs="Arial" w:eastAsia="Arial" w:hAnsi="Arial"/>
          <w:sz w:val="16"/>
          <w:szCs w:val="16"/>
          <w:b w:val="1"/>
          <w:bCs w:val="1"/>
          <w:color w:val="auto"/>
        </w:rPr>
        <w:t>Certifications</w:t>
      </w:r>
      <w:r>
        <w:rPr>
          <w:sz w:val="20"/>
          <w:szCs w:val="20"/>
          <w:color w:val="auto"/>
        </w:rPr>
        <w:tab/>
      </w:r>
      <w:r>
        <w:rPr>
          <w:rFonts w:ascii="Arial" w:cs="Arial" w:eastAsia="Arial" w:hAnsi="Arial"/>
          <w:sz w:val="16"/>
          <w:szCs w:val="16"/>
          <w:b w:val="1"/>
          <w:bCs w:val="1"/>
          <w:color w:val="auto"/>
        </w:rPr>
        <w:t>Exhibit 31 (i)</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 Thomas J. Wilson, certify that:</w:t>
      </w:r>
    </w:p>
    <w:p>
      <w:pPr>
        <w:spacing w:after="0" w:line="194" w:lineRule="exact"/>
        <w:rPr>
          <w:sz w:val="20"/>
          <w:szCs w:val="20"/>
          <w:color w:val="auto"/>
        </w:rPr>
      </w:pPr>
    </w:p>
    <w:p>
      <w:pPr>
        <w:ind w:left="180" w:hanging="172"/>
        <w:spacing w:after="0"/>
        <w:tabs>
          <w:tab w:leader="none" w:pos="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The Allstate Corporation;</w:t>
      </w:r>
    </w:p>
    <w:p>
      <w:pPr>
        <w:spacing w:after="0" w:line="194" w:lineRule="exact"/>
        <w:rPr>
          <w:rFonts w:ascii="Arial" w:cs="Arial" w:eastAsia="Arial" w:hAnsi="Arial"/>
          <w:sz w:val="16"/>
          <w:szCs w:val="16"/>
          <w:color w:val="auto"/>
        </w:rPr>
      </w:pPr>
    </w:p>
    <w:p>
      <w:pPr>
        <w:ind w:right="20" w:firstLine="8"/>
        <w:spacing w:after="0" w:line="260" w:lineRule="auto"/>
        <w:tabs>
          <w:tab w:leader="none" w:pos="208"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right="20" w:firstLine="8"/>
        <w:spacing w:after="0" w:line="260" w:lineRule="auto"/>
        <w:tabs>
          <w:tab w:leader="none" w:pos="19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jc w:val="both"/>
        <w:ind w:firstLine="8"/>
        <w:spacing w:after="0" w:line="253" w:lineRule="auto"/>
        <w:tabs>
          <w:tab w:leader="none" w:pos="185"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jc w:val="both"/>
        <w:ind w:firstLine="170"/>
        <w:spacing w:after="0" w:line="253" w:lineRule="auto"/>
        <w:tabs>
          <w:tab w:leader="none" w:pos="361"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jc w:val="both"/>
        <w:ind w:firstLine="170"/>
        <w:spacing w:after="0" w:line="253" w:lineRule="auto"/>
        <w:tabs>
          <w:tab w:leader="none" w:pos="364" w:val="left"/>
        </w:tabs>
        <w:numPr>
          <w:ilvl w:val="1"/>
          <w:numId w:val="9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firstLine="170"/>
        <w:spacing w:after="0" w:line="260" w:lineRule="auto"/>
        <w:tabs>
          <w:tab w:leader="none" w:pos="35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firstLine="170"/>
        <w:spacing w:after="0" w:line="253" w:lineRule="auto"/>
        <w:tabs>
          <w:tab w:leader="none" w:pos="352" w:val="left"/>
        </w:tabs>
        <w:numPr>
          <w:ilvl w:val="1"/>
          <w:numId w:val="9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firstLine="8"/>
        <w:spacing w:after="0" w:line="260" w:lineRule="auto"/>
        <w:tabs>
          <w:tab w:leader="none" w:pos="208"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6"/>
          <w:szCs w:val="16"/>
          <w:color w:val="auto"/>
        </w:rPr>
      </w:pPr>
    </w:p>
    <w:p>
      <w:pPr>
        <w:ind w:firstLine="170"/>
        <w:spacing w:after="0" w:line="260" w:lineRule="auto"/>
        <w:tabs>
          <w:tab w:leader="none" w:pos="367"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firstLine="170"/>
        <w:spacing w:after="0" w:line="260" w:lineRule="auto"/>
        <w:tabs>
          <w:tab w:leader="none" w:pos="373" w:val="left"/>
        </w:tabs>
        <w:numPr>
          <w:ilvl w:val="1"/>
          <w:numId w:val="9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Date: May 1, 2019</w:t>
      </w:r>
    </w:p>
    <w:p>
      <w:pPr>
        <w:spacing w:after="0" w:line="167"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/s/ Thomas J.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19050</wp:posOffset>
            </wp:positionV>
            <wp:extent cx="258127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53"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Thomas J. Wilson</w:t>
      </w:r>
    </w:p>
    <w:p>
      <w:pPr>
        <w:spacing w:after="0" w:line="59"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Chairman of the Board, President, and Chief Executive</w:t>
      </w:r>
    </w:p>
    <w:p>
      <w:pPr>
        <w:spacing w:after="0" w:line="5" w:lineRule="exact"/>
        <w:rPr>
          <w:sz w:val="20"/>
          <w:szCs w:val="20"/>
          <w:color w:val="auto"/>
        </w:rPr>
      </w:pPr>
    </w:p>
    <w:p>
      <w:pPr>
        <w:ind w:left="7380"/>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743" w:right="239" w:bottom="1440" w:gutter="0" w:footer="0" w:header="0"/>
        </w:sectPr>
      </w:pPr>
    </w:p>
    <w:bookmarkStart w:id="107" w:name="page108"/>
    <w:bookmarkEnd w:id="107"/>
    <w:p>
      <w:pPr>
        <w:ind w:left="40"/>
        <w:spacing w:after="0"/>
        <w:tabs>
          <w:tab w:leader="none" w:pos="10400" w:val="left"/>
        </w:tabs>
        <w:rPr>
          <w:sz w:val="20"/>
          <w:szCs w:val="20"/>
          <w:color w:val="auto"/>
        </w:rPr>
      </w:pPr>
      <w:r>
        <w:rPr>
          <w:rFonts w:ascii="Arial" w:cs="Arial" w:eastAsia="Arial" w:hAnsi="Arial"/>
          <w:sz w:val="16"/>
          <w:szCs w:val="16"/>
          <w:b w:val="1"/>
          <w:bCs w:val="1"/>
          <w:color w:val="auto"/>
        </w:rPr>
        <w:t>Certifications</w:t>
      </w:r>
      <w:r>
        <w:rPr>
          <w:sz w:val="20"/>
          <w:szCs w:val="20"/>
          <w:color w:val="auto"/>
        </w:rPr>
        <w:tab/>
      </w:r>
      <w:r>
        <w:rPr>
          <w:rFonts w:ascii="Arial" w:cs="Arial" w:eastAsia="Arial" w:hAnsi="Arial"/>
          <w:sz w:val="16"/>
          <w:szCs w:val="16"/>
          <w:b w:val="1"/>
          <w:bCs w:val="1"/>
          <w:color w:val="auto"/>
        </w:rPr>
        <w:t>Exhibit 31 (i)</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6"/>
          <w:szCs w:val="16"/>
          <w:color w:val="auto"/>
        </w:rPr>
        <w:t>I, Mario Rizzo, certify that:</w:t>
      </w:r>
    </w:p>
    <w:p>
      <w:pPr>
        <w:spacing w:after="0" w:line="194" w:lineRule="exact"/>
        <w:rPr>
          <w:sz w:val="20"/>
          <w:szCs w:val="20"/>
          <w:color w:val="auto"/>
        </w:rPr>
      </w:pPr>
    </w:p>
    <w:p>
      <w:pPr>
        <w:ind w:left="200" w:hanging="178"/>
        <w:spacing w:after="0"/>
        <w:tabs>
          <w:tab w:leader="none" w:pos="20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The Allstate Corporation;</w:t>
      </w:r>
    </w:p>
    <w:p>
      <w:pPr>
        <w:spacing w:after="0" w:line="194" w:lineRule="exact"/>
        <w:rPr>
          <w:rFonts w:ascii="Arial" w:cs="Arial" w:eastAsia="Arial" w:hAnsi="Arial"/>
          <w:sz w:val="16"/>
          <w:szCs w:val="16"/>
          <w:color w:val="auto"/>
        </w:rPr>
      </w:pPr>
    </w:p>
    <w:p>
      <w:pPr>
        <w:ind w:right="20" w:firstLine="8"/>
        <w:spacing w:after="0" w:line="260" w:lineRule="auto"/>
        <w:tabs>
          <w:tab w:leader="none" w:pos="208"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6"/>
          <w:szCs w:val="16"/>
          <w:color w:val="auto"/>
        </w:rPr>
      </w:pPr>
    </w:p>
    <w:p>
      <w:pPr>
        <w:ind w:right="20" w:firstLine="8"/>
        <w:spacing w:after="0" w:line="260" w:lineRule="auto"/>
        <w:tabs>
          <w:tab w:leader="none" w:pos="190" w:val="left"/>
        </w:tabs>
        <w:numPr>
          <w:ilvl w:val="0"/>
          <w:numId w:val="9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jc w:val="both"/>
        <w:ind w:firstLine="8"/>
        <w:spacing w:after="0" w:line="253" w:lineRule="auto"/>
        <w:tabs>
          <w:tab w:leader="none" w:pos="185"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jc w:val="both"/>
        <w:ind w:firstLine="170"/>
        <w:spacing w:after="0" w:line="253" w:lineRule="auto"/>
        <w:tabs>
          <w:tab w:leader="none" w:pos="361" w:val="left"/>
        </w:tabs>
        <w:numPr>
          <w:ilvl w:val="2"/>
          <w:numId w:val="9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6"/>
          <w:szCs w:val="16"/>
          <w:color w:val="auto"/>
        </w:rPr>
      </w:pPr>
    </w:p>
    <w:p>
      <w:pPr>
        <w:jc w:val="both"/>
        <w:ind w:firstLine="170"/>
        <w:spacing w:after="0" w:line="253" w:lineRule="auto"/>
        <w:tabs>
          <w:tab w:leader="none" w:pos="364" w:val="left"/>
        </w:tabs>
        <w:numPr>
          <w:ilvl w:val="2"/>
          <w:numId w:val="9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firstLine="170"/>
        <w:spacing w:after="0" w:line="260" w:lineRule="auto"/>
        <w:tabs>
          <w:tab w:leader="none" w:pos="350" w:val="left"/>
        </w:tabs>
        <w:numPr>
          <w:ilvl w:val="2"/>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6"/>
          <w:szCs w:val="16"/>
          <w:color w:val="auto"/>
        </w:rPr>
      </w:pPr>
    </w:p>
    <w:p>
      <w:pPr>
        <w:jc w:val="both"/>
        <w:ind w:firstLine="170"/>
        <w:spacing w:after="0" w:line="253" w:lineRule="auto"/>
        <w:tabs>
          <w:tab w:leader="none" w:pos="352" w:val="left"/>
        </w:tabs>
        <w:numPr>
          <w:ilvl w:val="2"/>
          <w:numId w:val="9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6"/>
          <w:szCs w:val="16"/>
          <w:color w:val="auto"/>
        </w:rPr>
      </w:pPr>
    </w:p>
    <w:p>
      <w:pPr>
        <w:ind w:firstLine="8"/>
        <w:spacing w:after="0" w:line="260" w:lineRule="auto"/>
        <w:tabs>
          <w:tab w:leader="none" w:pos="208"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6"/>
          <w:szCs w:val="16"/>
          <w:color w:val="auto"/>
        </w:rPr>
      </w:pPr>
    </w:p>
    <w:p>
      <w:pPr>
        <w:ind w:firstLine="170"/>
        <w:spacing w:after="0" w:line="260" w:lineRule="auto"/>
        <w:tabs>
          <w:tab w:leader="none" w:pos="367" w:val="left"/>
        </w:tabs>
        <w:numPr>
          <w:ilvl w:val="2"/>
          <w:numId w:val="9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firstLine="170"/>
        <w:spacing w:after="0" w:line="260" w:lineRule="auto"/>
        <w:tabs>
          <w:tab w:leader="none" w:pos="373" w:val="left"/>
        </w:tabs>
        <w:numPr>
          <w:ilvl w:val="2"/>
          <w:numId w:val="9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Date: May 1, 2019</w:t>
      </w:r>
    </w:p>
    <w:p>
      <w:pPr>
        <w:spacing w:after="0" w:line="167"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/s/ Mario Rizzo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19050</wp:posOffset>
            </wp:positionV>
            <wp:extent cx="263271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53"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Mario Rizzo</w:t>
      </w:r>
    </w:p>
    <w:p>
      <w:pPr>
        <w:spacing w:after="0" w:line="59"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420"/>
          </w:cols>
          <w:pgMar w:left="240" w:top="743"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32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Section 1350 Certifications</w:t>
      </w:r>
    </w:p>
    <w:p>
      <w:pPr>
        <w:spacing w:after="0" w:line="106" w:lineRule="exact"/>
        <w:rPr>
          <w:sz w:val="20"/>
          <w:szCs w:val="20"/>
          <w:color w:val="auto"/>
        </w:rPr>
      </w:pPr>
    </w:p>
    <w:p>
      <w:pPr>
        <w:jc w:val="both"/>
        <w:ind w:right="20" w:firstLine="324"/>
        <w:spacing w:after="0" w:line="251" w:lineRule="auto"/>
        <w:rPr>
          <w:sz w:val="20"/>
          <w:szCs w:val="20"/>
          <w:color w:val="auto"/>
        </w:rPr>
      </w:pPr>
      <w:r>
        <w:rPr>
          <w:rFonts w:ascii="Arial" w:cs="Arial" w:eastAsia="Arial" w:hAnsi="Arial"/>
          <w:sz w:val="16"/>
          <w:szCs w:val="16"/>
          <w:color w:val="auto"/>
        </w:rPr>
        <w:t>Each of the undersigned hereby certifies that to his knowledge the quarterly report on Form 10-Q for the fiscal period ended March 31, 2019 of The Allstate Corporation filed with the Securities and Exchange Commission fully complies with the requirements of Section 13(a) or 15(d) of the Securities Exchange Act of 1934 and that the information contained in such report fairly presents, in all material respects, the financial condition and result of operations of The Allstate Corporation.</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Date: May 1, 2019</w:t>
      </w:r>
    </w:p>
    <w:p>
      <w:pPr>
        <w:spacing w:after="0" w:line="275"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/s/ Thomas J.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19050</wp:posOffset>
            </wp:positionV>
            <wp:extent cx="260731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3"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Thomas J. Wilson</w:t>
      </w:r>
    </w:p>
    <w:p>
      <w:pPr>
        <w:spacing w:after="0" w:line="59"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Chairman of the Board, President, and Chief Executive</w:t>
      </w:r>
    </w:p>
    <w:p>
      <w:pPr>
        <w:spacing w:after="0" w:line="5"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/s/ Mario Rizzo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19050</wp:posOffset>
            </wp:positionV>
            <wp:extent cx="260731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3"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Mario Rizzo</w:t>
      </w:r>
    </w:p>
    <w:p>
      <w:pPr>
        <w:spacing w:after="0" w:line="59"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Executive Vice President and Chief Financial Officer</w:t>
      </w:r>
    </w:p>
    <w:sectPr>
      <w:pgSz w:w="11900" w:h="16838" w:orient="portrait"/>
      <w:cols w:equalWidth="0" w:num="1">
        <w:col w:w="11420"/>
      </w:cols>
      <w:pgMar w:left="240" w:top="66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1)"/>
      <w:numFmt w:val="decimal"/>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1)"/>
      <w:numFmt w:val="decimal"/>
      <w:start w:val="1"/>
    </w:lvl>
  </w:abstractNum>
  <w:abstractNum w:abstractNumId="6">
    <w:nsid w:val="12E685FB"/>
    <w:multiLevelType w:val="hybridMultilevel"/>
    <w:lvl w:ilvl="0">
      <w:lvlJc w:val="left"/>
      <w:lvlText w:val="(%1)"/>
      <w:numFmt w:val="decimal"/>
      <w:start w:val="1"/>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1)"/>
      <w:numFmt w:val="lowerLetter"/>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1)"/>
      <w:numFmt w:val="decimal"/>
      <w:start w:val="1"/>
    </w:lvl>
  </w:abstractNum>
  <w:abstractNum w:abstractNumId="16">
    <w:nsid w:val="180115BE"/>
    <w:multiLevelType w:val="hybridMultilevel"/>
    <w:lvl w:ilvl="0">
      <w:lvlJc w:val="left"/>
      <w:lvlText w:val="(%1)"/>
      <w:numFmt w:val="decimal"/>
      <w:start w:val="1"/>
    </w:lvl>
  </w:abstractNum>
  <w:abstractNum w:abstractNumId="17">
    <w:nsid w:val="235BA861"/>
    <w:multiLevelType w:val="hybridMultilevel"/>
    <w:lvl w:ilvl="0">
      <w:lvlJc w:val="left"/>
      <w:lvlText w:val="(%1)"/>
      <w:numFmt w:val="decimal"/>
      <w:start w:val="1"/>
    </w:lvl>
  </w:abstractNum>
  <w:abstractNum w:abstractNumId="18">
    <w:nsid w:val="47398C89"/>
    <w:multiLevelType w:val="hybridMultilevel"/>
    <w:lvl w:ilvl="0">
      <w:lvlJc w:val="left"/>
      <w:lvlText w:val="(%1)"/>
      <w:numFmt w:val="decimal"/>
      <w:start w:val="1"/>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1)"/>
      <w:numFmt w:val="decimal"/>
      <w:start w:val="1"/>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decimal"/>
      <w:start w:val="8"/>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1)"/>
      <w:numFmt w:val="decimal"/>
      <w:start w:val="1"/>
    </w:lvl>
  </w:abstractNum>
  <w:abstractNum w:abstractNumId="32">
    <w:nsid w:val="25A70BF7"/>
    <w:multiLevelType w:val="hybridMultilevel"/>
    <w:lvl w:ilvl="0">
      <w:lvlJc w:val="left"/>
      <w:lvlText w:val="(%1)"/>
      <w:numFmt w:val="decimal"/>
      <w:start w:val="1"/>
    </w:lvl>
  </w:abstractNum>
  <w:abstractNum w:abstractNumId="33">
    <w:nsid w:val="1DBABF00"/>
    <w:multiLevelType w:val="hybridMultilevel"/>
    <w:lvl w:ilvl="0">
      <w:lvlJc w:val="left"/>
      <w:lvlText w:val="(%1)"/>
      <w:numFmt w:val="decimal"/>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1)"/>
      <w:numFmt w:val="decimal"/>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lvl w:ilvl="1">
      <w:lvlJc w:val="left"/>
      <w:lvlText w:val="(%2)"/>
      <w:numFmt w:val="decimal"/>
      <w:start w:val="1"/>
    </w:lvl>
  </w:abstractNum>
  <w:abstractNum w:abstractNumId="51">
    <w:nsid w:val="7BD3EE7B"/>
    <w:multiLevelType w:val="hybridMultilevel"/>
    <w:lvl w:ilvl="0">
      <w:lvlJc w:val="left"/>
      <w:lvlText w:val="(%1)"/>
      <w:numFmt w:val="decimal"/>
      <w:start w:val="1"/>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1)"/>
      <w:numFmt w:val="decimal"/>
      <w:start w:val="1"/>
    </w:lvl>
  </w:abstractNum>
  <w:abstractNum w:abstractNumId="54">
    <w:nsid w:val="BF72B14"/>
    <w:multiLevelType w:val="hybridMultilevel"/>
    <w:lvl w:ilvl="0">
      <w:lvlJc w:val="left"/>
      <w:lvlText w:val="(%1)"/>
      <w:numFmt w:val="decimal"/>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1)"/>
      <w:numFmt w:val="decimal"/>
      <w:start w:val="1"/>
    </w:lvl>
  </w:abstractNum>
  <w:abstractNum w:abstractNumId="61">
    <w:nsid w:val="68EB2F63"/>
    <w:multiLevelType w:val="hybridMultilevel"/>
    <w:lvl w:ilvl="0">
      <w:lvlJc w:val="left"/>
      <w:lvlText w:val="(%1)"/>
      <w:numFmt w:val="decimal"/>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
      <w:numFmt w:val="bullet"/>
      <w:start w:val="1"/>
    </w:lvl>
  </w:abstractNum>
  <w:abstractNum w:abstractNumId="66">
    <w:nsid w:val="7FFFCA11"/>
    <w:multiLevelType w:val="hybridMultilevel"/>
    <w:lvl w:ilvl="0">
      <w:lvlJc w:val="left"/>
      <w:lvlText w:val="•"/>
      <w:numFmt w:val="bullet"/>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
      <w:numFmt w:val="bullet"/>
      <w:start w:val="1"/>
    </w:lvl>
  </w:abstractNum>
  <w:abstractNum w:abstractNumId="69">
    <w:nsid w:val="100F59DC"/>
    <w:multiLevelType w:val="hybridMultilevel"/>
    <w:lvl w:ilvl="0">
      <w:lvlJc w:val="left"/>
      <w:lvlText w:val="•"/>
      <w:numFmt w:val="bullet"/>
      <w:start w:val="1"/>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1)"/>
      <w:numFmt w:val="decimal"/>
      <w:start w:val="1"/>
    </w:lvl>
  </w:abstractNum>
  <w:abstractNum w:abstractNumId="73">
    <w:nsid w:val="94211F2"/>
    <w:multiLevelType w:val="hybridMultilevel"/>
    <w:lvl w:ilvl="0">
      <w:lvlJc w:val="left"/>
      <w:lvlText w:val="(%1)"/>
      <w:numFmt w:val="decimal"/>
      <w:start w:val="1"/>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1"/>
    </w:lvl>
  </w:abstractNum>
  <w:abstractNum w:abstractNumId="77">
    <w:nsid w:val="1716703B"/>
    <w:multiLevelType w:val="hybridMultilevel"/>
    <w:lvl w:ilvl="0">
      <w:lvlJc w:val="left"/>
      <w:lvlText w:val="(%1)"/>
      <w:numFmt w:val="decimal"/>
      <w:start w:val="1"/>
    </w:lvl>
  </w:abstractNum>
  <w:abstractNum w:abstractNumId="78">
    <w:nsid w:val="14E17E33"/>
    <w:multiLevelType w:val="hybridMultilevel"/>
    <w:lvl w:ilvl="0">
      <w:lvlJc w:val="left"/>
      <w:lvlText w:val="(%1)"/>
      <w:numFmt w:val="decimal"/>
      <w:start w:val="1"/>
    </w:lvl>
  </w:abstractNum>
  <w:abstractNum w:abstractNumId="79">
    <w:nsid w:val="3222E7CD"/>
    <w:multiLevelType w:val="hybridMultilevel"/>
    <w:lvl w:ilvl="0">
      <w:lvlJc w:val="left"/>
      <w:lvlText w:val="(%1)"/>
      <w:numFmt w:val="decimal"/>
      <w:start w:val="1"/>
    </w:lvl>
  </w:abstractNum>
  <w:abstractNum w:abstractNumId="80">
    <w:nsid w:val="74DE0EE3"/>
    <w:multiLevelType w:val="hybridMultilevel"/>
    <w:lvl w:ilvl="0">
      <w:lvlJc w:val="left"/>
      <w:lvlText w:val="(%1)"/>
      <w:numFmt w:val="decimal"/>
      <w:start w:val="1"/>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1)"/>
      <w:numFmt w:val="decimal"/>
      <w:start w:val="1"/>
    </w:lvl>
  </w:abstractNum>
  <w:abstractNum w:abstractNumId="83">
    <w:nsid w:val="46B7D447"/>
    <w:multiLevelType w:val="hybridMultilevel"/>
    <w:lvl w:ilvl="0">
      <w:lvlJc w:val="left"/>
      <w:lvlText w:val="(%1)"/>
      <w:numFmt w:val="decimal"/>
      <w:start w:val="1"/>
    </w:lvl>
  </w:abstractNum>
  <w:abstractNum w:abstractNumId="84">
    <w:nsid w:val="4A2AC315"/>
    <w:multiLevelType w:val="hybridMultilevel"/>
    <w:lvl w:ilvl="0">
      <w:lvlJc w:val="left"/>
      <w:lvlText w:val="(%1)"/>
      <w:numFmt w:val="decimal"/>
      <w:start w:val="1"/>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
      <w:numFmt w:val="bullet"/>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decimal"/>
      <w:start w:val="2"/>
    </w:lvl>
  </w:abstractNum>
  <w:abstractNum w:abstractNumId="91">
    <w:nsid w:val="7F01579B"/>
    <w:multiLevelType w:val="hybridMultilevel"/>
    <w:lvl w:ilvl="0">
      <w:lvlJc w:val="left"/>
      <w:lvlText w:val="4"/>
      <w:numFmt w:val="bullet"/>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
      <w:numFmt w:val="bullet"/>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7">
    <w:nsid w:val="5FB8011C"/>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jpe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jpe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jpe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jpe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jpe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jpeg"/><Relationship Id="rId562" Type="http://schemas.openxmlformats.org/officeDocument/2006/relationships/image" Target="media/image555.jpeg"/><Relationship Id="rId563" Type="http://schemas.openxmlformats.org/officeDocument/2006/relationships/image" Target="media/image556.jpe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2019-12-05T00:40:22Z</dcterms:created>
  <dcterms:modified xsi:type="dcterms:W3CDTF">2019-12-05T00:40:22Z</dcterms:modified>
</cp:coreProperties>
</file>